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Abstract</w:t>
      </w:r>
    </w:p>
    <w:p>
      <w:pPr>
        <w:ind w:firstLine="280" w:firstLineChars="100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Articular cartilage injury is a common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type of damage observed in clinical practice. A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matrix-induced autologous chondrocyte implant was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developed to repair articular cartilage as an advancement on the autologous chondrocyte implant procedure. Here, we establish a thin double layer of collagen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as a novel and effective bioscaffold for the regeneration of cartilaginous lesions. We created a collagen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membrane with double layers using a cover slip, a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glass slide, and the collagen was then freeze-dried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under vacuum. Carbodiimide as a crosslinking agent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was used to obtain a relatively stable collagen construction. The thickness of the knee joint cartilage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from grown rabbits was measured from a frozen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section. Both type I and type II collagens were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characterized using Sodium dodecylsulfate/polyacrylamide gel electrophoresis (SDS-PAGE) and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ultraviolet absorption peaks. The aperture size of the scaffold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was observed using a scanning electron microscope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(SEM). The degradation of the scaffolds in vitro was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tested through digestion using collagenase solution.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The mechanical capacity of the scaffolds was assessed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under dynamic compression. The influence of the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scaffold on chondrocyte proliferation was assessed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using the methyl thiazolyl tetrazolium (MTT) colourimetric assay and scanning electron microscopy. The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frozen sections of the rabbit femoral condyle showed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that the thickness of the weight-bearing area of the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articular cartilage was less than 1 mm. The results of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the SDS-PAGE and ultraviolet absorption peaks of the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collagens were in agreement with the standard photographs in the references. SEM showed that the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aperture size of the cross-linked scaffold was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82.14 ± 15.70 lm. The in vitro degradation studies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indicated that Carbodiimide cross-linking can effectively enhance the biostability of the scaffolds. The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Carbodiimide cross-linking protocol resulted in a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mean value for the samples that ranged from 8.72 to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15.95 MPa for the compressive strength. The results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of the MTT demonstrated that the scaffold had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promoted chondrocyte proliferation and SEM observations showed that the scaffold was a good adhesive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and growth material for chondrocytes. Thin type I/II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collagen composite scaffold can meet the demands of</w:t>
      </w:r>
      <w:r>
        <w:rPr>
          <w:rFonts w:hint="eastAsia"/>
          <w:sz w:val="28"/>
          <w:szCs w:val="28"/>
          <w:lang w:val="en-US" w:eastAsia="zh-CN"/>
        </w:rPr>
        <w:t xml:space="preserve"> cartilage tissue engineering and have good biocompatibility.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835A32"/>
    <w:rsid w:val="0FF51EFA"/>
    <w:rsid w:val="5E992621"/>
    <w:rsid w:val="6483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2017-12-14T04:24:00Z</dcterms:created>
  <dc:creator>Administrator</dc:creator>
  <cp:lastModifiedBy>Administrator</cp:lastModifiedBy>
  <dcterms:modified xsi:type="dcterms:W3CDTF">2017-12-14T04:45:48Z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