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2B1" w:rsidRPr="00CC11A0" w:rsidRDefault="005D52B1" w:rsidP="005D52B1">
      <w:pPr>
        <w:pStyle w:val="Default"/>
        <w:ind w:left="720" w:hanging="720"/>
        <w:rPr>
          <w:rFonts w:asciiTheme="majorBidi" w:hAnsiTheme="majorBidi" w:cstheme="majorBidi"/>
          <w:b/>
          <w:bCs/>
          <w:color w:val="auto"/>
          <w:sz w:val="28"/>
          <w:szCs w:val="28"/>
        </w:rPr>
      </w:pPr>
      <w:r>
        <w:rPr>
          <w:rFonts w:asciiTheme="majorBidi" w:hAnsiTheme="majorBidi" w:cstheme="majorBidi"/>
          <w:b/>
          <w:bCs/>
          <w:color w:val="auto"/>
          <w:sz w:val="28"/>
          <w:szCs w:val="28"/>
        </w:rPr>
        <w:t xml:space="preserve">             </w:t>
      </w:r>
      <w:r w:rsidRPr="00CC11A0">
        <w:rPr>
          <w:rFonts w:asciiTheme="majorBidi" w:hAnsiTheme="majorBidi" w:cstheme="majorBidi"/>
          <w:b/>
          <w:bCs/>
          <w:color w:val="auto"/>
          <w:sz w:val="28"/>
          <w:szCs w:val="28"/>
        </w:rPr>
        <w:t>Multiparametric-MRI as a comprehensive study in evaluation, characterization&amp; Local staging of urinary bladder carcinomas</w:t>
      </w:r>
    </w:p>
    <w:p w:rsidR="005D52B1" w:rsidRPr="00CC11A0" w:rsidRDefault="005D52B1" w:rsidP="005D52B1">
      <w:pPr>
        <w:pStyle w:val="Default"/>
        <w:ind w:left="720" w:hanging="720"/>
        <w:rPr>
          <w:rFonts w:asciiTheme="majorBidi" w:hAnsiTheme="majorBidi" w:cstheme="majorBidi"/>
          <w:b/>
          <w:bCs/>
          <w:color w:val="auto"/>
          <w:sz w:val="28"/>
          <w:szCs w:val="28"/>
        </w:rPr>
      </w:pPr>
    </w:p>
    <w:p w:rsidR="005D52B1" w:rsidRPr="00F80E5F" w:rsidRDefault="005D52B1" w:rsidP="005D52B1">
      <w:pPr>
        <w:autoSpaceDE w:val="0"/>
        <w:autoSpaceDN w:val="0"/>
        <w:adjustRightInd w:val="0"/>
        <w:spacing w:after="0" w:line="240" w:lineRule="auto"/>
        <w:ind w:firstLine="720"/>
        <w:rPr>
          <w:rFonts w:asciiTheme="majorBidi" w:hAnsiTheme="majorBidi" w:cstheme="majorBidi"/>
          <w:i/>
          <w:iCs/>
          <w:color w:val="000000"/>
        </w:rPr>
      </w:pPr>
      <w:r w:rsidRPr="00F80E5F">
        <w:rPr>
          <w:rFonts w:asciiTheme="majorBidi" w:hAnsiTheme="majorBidi" w:cstheme="majorBidi"/>
          <w:i/>
          <w:iCs/>
          <w:color w:val="000000"/>
          <w:vertAlign w:val="superscript"/>
        </w:rPr>
        <w:t>1</w:t>
      </w:r>
      <w:r w:rsidRPr="00F80E5F">
        <w:rPr>
          <w:rFonts w:asciiTheme="majorBidi" w:hAnsiTheme="majorBidi" w:cstheme="majorBidi"/>
          <w:i/>
          <w:iCs/>
          <w:color w:val="000000"/>
        </w:rPr>
        <w:t>Ahmed H</w:t>
      </w:r>
      <w:r>
        <w:rPr>
          <w:rFonts w:asciiTheme="majorBidi" w:hAnsiTheme="majorBidi" w:cstheme="majorBidi"/>
          <w:i/>
          <w:iCs/>
          <w:color w:val="000000"/>
        </w:rPr>
        <w:t xml:space="preserve">afez </w:t>
      </w:r>
      <w:proofErr w:type="spellStart"/>
      <w:r w:rsidRPr="00F80E5F">
        <w:rPr>
          <w:rFonts w:asciiTheme="majorBidi" w:hAnsiTheme="majorBidi" w:cstheme="majorBidi"/>
          <w:i/>
          <w:iCs/>
          <w:color w:val="000000"/>
        </w:rPr>
        <w:t>Afifi</w:t>
      </w:r>
      <w:proofErr w:type="spellEnd"/>
      <w:r w:rsidRPr="00F80E5F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gramStart"/>
      <w:r w:rsidRPr="00F80E5F">
        <w:rPr>
          <w:rFonts w:asciiTheme="majorBidi" w:hAnsiTheme="majorBidi" w:cstheme="majorBidi"/>
          <w:i/>
          <w:iCs/>
          <w:color w:val="000000"/>
        </w:rPr>
        <w:t xml:space="preserve">MD </w:t>
      </w:r>
      <w:r>
        <w:rPr>
          <w:rFonts w:asciiTheme="majorBidi" w:hAnsiTheme="majorBidi" w:cstheme="majorBidi"/>
          <w:i/>
          <w:iCs/>
          <w:color w:val="000000"/>
        </w:rPr>
        <w:t>,</w:t>
      </w:r>
      <w:proofErr w:type="gramEnd"/>
      <w:r>
        <w:rPr>
          <w:rFonts w:asciiTheme="majorBidi" w:hAnsiTheme="majorBidi" w:cstheme="majorBidi"/>
          <w:i/>
          <w:iCs/>
          <w:color w:val="000000"/>
        </w:rPr>
        <w:t xml:space="preserve"> </w:t>
      </w:r>
      <w:r w:rsidRPr="006B73DD">
        <w:rPr>
          <w:rFonts w:asciiTheme="majorBidi" w:hAnsiTheme="majorBidi" w:cstheme="majorBidi"/>
          <w:i/>
          <w:iCs/>
          <w:color w:val="000000"/>
          <w:vertAlign w:val="superscript"/>
        </w:rPr>
        <w:t>1</w:t>
      </w:r>
      <w:r>
        <w:rPr>
          <w:rFonts w:asciiTheme="majorBidi" w:hAnsiTheme="majorBidi" w:cstheme="majorBidi"/>
          <w:i/>
          <w:iCs/>
          <w:color w:val="000000"/>
        </w:rPr>
        <w:t xml:space="preserve">Tarek Abdel </w:t>
      </w:r>
      <w:proofErr w:type="spellStart"/>
      <w:r>
        <w:rPr>
          <w:rFonts w:asciiTheme="majorBidi" w:hAnsiTheme="majorBidi" w:cstheme="majorBidi"/>
          <w:i/>
          <w:iCs/>
          <w:color w:val="000000"/>
        </w:rPr>
        <w:t>Samie</w:t>
      </w:r>
      <w:proofErr w:type="spellEnd"/>
      <w:r>
        <w:rPr>
          <w:rFonts w:asciiTheme="majorBidi" w:hAnsiTheme="majorBidi" w:cstheme="majorBidi"/>
          <w:i/>
          <w:iCs/>
          <w:color w:val="000000"/>
        </w:rPr>
        <w:t xml:space="preserve"> Abdel </w:t>
      </w:r>
      <w:proofErr w:type="spellStart"/>
      <w:r>
        <w:rPr>
          <w:rFonts w:asciiTheme="majorBidi" w:hAnsiTheme="majorBidi" w:cstheme="majorBidi"/>
          <w:i/>
          <w:iCs/>
          <w:color w:val="000000"/>
        </w:rPr>
        <w:t>Maksoud</w:t>
      </w:r>
      <w:proofErr w:type="spellEnd"/>
      <w:r>
        <w:rPr>
          <w:rFonts w:asciiTheme="majorBidi" w:hAnsiTheme="majorBidi" w:cstheme="majorBidi"/>
          <w:i/>
          <w:iCs/>
          <w:color w:val="000000"/>
        </w:rPr>
        <w:t xml:space="preserve"> MS</w:t>
      </w:r>
      <w:r w:rsidRPr="00F80E5F">
        <w:rPr>
          <w:rFonts w:asciiTheme="majorBidi" w:hAnsiTheme="majorBidi" w:cstheme="majorBidi"/>
          <w:i/>
          <w:iCs/>
          <w:color w:val="000000"/>
        </w:rPr>
        <w:t xml:space="preserve">, </w:t>
      </w:r>
      <w:r w:rsidRPr="00F80E5F">
        <w:rPr>
          <w:rFonts w:asciiTheme="majorBidi" w:hAnsiTheme="majorBidi" w:cstheme="majorBidi"/>
          <w:i/>
          <w:iCs/>
          <w:color w:val="000000"/>
          <w:vertAlign w:val="superscript"/>
        </w:rPr>
        <w:t>1*</w:t>
      </w:r>
      <w:proofErr w:type="spellStart"/>
      <w:r>
        <w:rPr>
          <w:rFonts w:asciiTheme="majorBidi" w:hAnsiTheme="majorBidi" w:cstheme="majorBidi"/>
          <w:i/>
          <w:iCs/>
          <w:color w:val="000000"/>
        </w:rPr>
        <w:t>Khaled</w:t>
      </w:r>
      <w:proofErr w:type="spellEnd"/>
      <w:r>
        <w:rPr>
          <w:rFonts w:asciiTheme="majorBidi" w:hAnsiTheme="majorBidi" w:cstheme="majorBidi"/>
          <w:i/>
          <w:iCs/>
          <w:color w:val="000000"/>
        </w:rPr>
        <w:t xml:space="preserve"> Ibrahim EL-</w:t>
      </w:r>
      <w:proofErr w:type="spellStart"/>
      <w:r>
        <w:rPr>
          <w:rFonts w:asciiTheme="majorBidi" w:hAnsiTheme="majorBidi" w:cstheme="majorBidi"/>
          <w:i/>
          <w:iCs/>
          <w:color w:val="000000"/>
        </w:rPr>
        <w:t>noueam</w:t>
      </w:r>
      <w:proofErr w:type="spellEnd"/>
      <w:r>
        <w:rPr>
          <w:rFonts w:asciiTheme="majorBidi" w:hAnsiTheme="majorBidi" w:cstheme="majorBidi"/>
          <w:i/>
          <w:iCs/>
          <w:color w:val="000000"/>
        </w:rPr>
        <w:t xml:space="preserve"> </w:t>
      </w:r>
      <w:r w:rsidRPr="00F80E5F">
        <w:rPr>
          <w:rFonts w:asciiTheme="majorBidi" w:hAnsiTheme="majorBidi" w:cstheme="majorBidi"/>
          <w:i/>
          <w:iCs/>
          <w:color w:val="000000"/>
        </w:rPr>
        <w:t xml:space="preserve">MD, , </w:t>
      </w:r>
      <w:r w:rsidRPr="00F80E5F">
        <w:rPr>
          <w:rFonts w:asciiTheme="majorBidi" w:hAnsiTheme="majorBidi" w:cstheme="majorBidi"/>
          <w:i/>
          <w:iCs/>
          <w:color w:val="000000"/>
          <w:vertAlign w:val="superscript"/>
        </w:rPr>
        <w:t>2</w:t>
      </w:r>
      <w:r w:rsidRPr="00F80E5F">
        <w:rPr>
          <w:rFonts w:asciiTheme="majorBidi" w:hAnsiTheme="majorBidi" w:cstheme="majorBidi"/>
          <w:i/>
          <w:iCs/>
          <w:color w:val="000000"/>
        </w:rPr>
        <w:t xml:space="preserve">Mohamed A. </w:t>
      </w:r>
      <w:proofErr w:type="spellStart"/>
      <w:r w:rsidRPr="00F80E5F">
        <w:rPr>
          <w:rFonts w:asciiTheme="majorBidi" w:hAnsiTheme="majorBidi" w:cstheme="majorBidi"/>
          <w:i/>
          <w:iCs/>
          <w:color w:val="000000"/>
        </w:rPr>
        <w:t>Ataa</w:t>
      </w:r>
      <w:proofErr w:type="spellEnd"/>
      <w:r w:rsidRPr="00F80E5F">
        <w:rPr>
          <w:rFonts w:asciiTheme="majorBidi" w:hAnsiTheme="majorBidi" w:cstheme="majorBidi"/>
          <w:i/>
          <w:iCs/>
          <w:color w:val="000000"/>
        </w:rPr>
        <w:t xml:space="preserve"> MD, and </w:t>
      </w:r>
      <w:r w:rsidRPr="00F80E5F">
        <w:rPr>
          <w:rFonts w:asciiTheme="majorBidi" w:hAnsiTheme="majorBidi" w:cstheme="majorBidi"/>
          <w:i/>
          <w:iCs/>
          <w:color w:val="000000"/>
          <w:vertAlign w:val="superscript"/>
        </w:rPr>
        <w:t>3</w:t>
      </w:r>
      <w:r>
        <w:rPr>
          <w:rFonts w:asciiTheme="majorBidi" w:hAnsiTheme="majorBidi" w:cstheme="majorBidi"/>
          <w:i/>
          <w:iCs/>
          <w:color w:val="000000"/>
        </w:rPr>
        <w:t xml:space="preserve">Dina </w:t>
      </w:r>
      <w:proofErr w:type="spellStart"/>
      <w:r>
        <w:rPr>
          <w:rFonts w:asciiTheme="majorBidi" w:hAnsiTheme="majorBidi" w:cstheme="majorBidi"/>
          <w:i/>
          <w:iCs/>
          <w:color w:val="000000"/>
        </w:rPr>
        <w:t>Mohamad</w:t>
      </w:r>
      <w:proofErr w:type="spellEnd"/>
      <w:r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color w:val="000000"/>
        </w:rPr>
        <w:t>Abdallah</w:t>
      </w:r>
      <w:proofErr w:type="spellEnd"/>
      <w:r>
        <w:rPr>
          <w:rFonts w:asciiTheme="majorBidi" w:hAnsiTheme="majorBidi" w:cstheme="majorBidi"/>
          <w:i/>
          <w:iCs/>
          <w:color w:val="000000"/>
        </w:rPr>
        <w:t xml:space="preserve"> </w:t>
      </w:r>
      <w:r w:rsidRPr="00F80E5F">
        <w:rPr>
          <w:rFonts w:asciiTheme="majorBidi" w:hAnsiTheme="majorBidi" w:cstheme="majorBidi"/>
          <w:i/>
          <w:iCs/>
          <w:color w:val="000000"/>
        </w:rPr>
        <w:t>MD</w:t>
      </w:r>
    </w:p>
    <w:p w:rsidR="005D52B1" w:rsidRPr="001414D0" w:rsidRDefault="005D52B1" w:rsidP="005D52B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color w:val="000000"/>
          <w:sz w:val="24"/>
          <w:szCs w:val="24"/>
        </w:rPr>
      </w:pPr>
    </w:p>
    <w:p w:rsidR="005D52B1" w:rsidRPr="00F80E5F" w:rsidRDefault="005D52B1" w:rsidP="005D52B1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i/>
          <w:iCs/>
          <w:color w:val="231F20"/>
          <w:sz w:val="18"/>
          <w:szCs w:val="18"/>
        </w:rPr>
      </w:pPr>
      <w:r w:rsidRPr="00F80E5F">
        <w:rPr>
          <w:rFonts w:asciiTheme="majorBidi" w:hAnsiTheme="majorBidi" w:cstheme="majorBidi"/>
          <w:b/>
          <w:bCs/>
          <w:i/>
          <w:iCs/>
          <w:color w:val="000000"/>
          <w:sz w:val="18"/>
          <w:szCs w:val="18"/>
          <w:vertAlign w:val="superscript"/>
        </w:rPr>
        <w:t>1</w:t>
      </w:r>
      <w:r w:rsidRPr="00F80E5F">
        <w:rPr>
          <w:rFonts w:asciiTheme="majorBidi" w:hAnsiTheme="majorBidi" w:cstheme="majorBidi"/>
          <w:i/>
          <w:iCs/>
          <w:color w:val="231F20"/>
          <w:sz w:val="18"/>
          <w:szCs w:val="18"/>
        </w:rPr>
        <w:t xml:space="preserve">Radiology Department, Alexandria </w:t>
      </w:r>
      <w:proofErr w:type="spellStart"/>
      <w:r w:rsidRPr="00F80E5F">
        <w:rPr>
          <w:rFonts w:asciiTheme="majorBidi" w:hAnsiTheme="majorBidi" w:cstheme="majorBidi"/>
          <w:i/>
          <w:iCs/>
          <w:color w:val="231F20"/>
          <w:sz w:val="18"/>
          <w:szCs w:val="18"/>
        </w:rPr>
        <w:t>University,Egypt</w:t>
      </w:r>
      <w:proofErr w:type="spellEnd"/>
      <w:r w:rsidRPr="00F80E5F">
        <w:rPr>
          <w:rFonts w:asciiTheme="majorBidi" w:hAnsiTheme="majorBidi" w:cstheme="majorBidi"/>
          <w:i/>
          <w:iCs/>
          <w:color w:val="231F20"/>
          <w:sz w:val="18"/>
          <w:szCs w:val="18"/>
        </w:rPr>
        <w:t xml:space="preserve">; </w:t>
      </w:r>
      <w:r w:rsidRPr="00F80E5F">
        <w:rPr>
          <w:rFonts w:asciiTheme="majorBidi" w:hAnsiTheme="majorBidi" w:cstheme="majorBidi"/>
          <w:i/>
          <w:iCs/>
          <w:color w:val="000000"/>
          <w:sz w:val="18"/>
          <w:szCs w:val="18"/>
          <w:vertAlign w:val="superscript"/>
        </w:rPr>
        <w:t>2</w:t>
      </w:r>
      <w:r>
        <w:rPr>
          <w:rFonts w:asciiTheme="majorBidi" w:hAnsiTheme="majorBidi" w:cstheme="majorBidi"/>
          <w:i/>
          <w:iCs/>
          <w:color w:val="231F20"/>
          <w:sz w:val="18"/>
          <w:szCs w:val="18"/>
        </w:rPr>
        <w:t>Uro</w:t>
      </w:r>
      <w:r w:rsidRPr="00F80E5F">
        <w:rPr>
          <w:rFonts w:asciiTheme="majorBidi" w:hAnsiTheme="majorBidi" w:cstheme="majorBidi"/>
          <w:i/>
          <w:iCs/>
          <w:color w:val="231F20"/>
          <w:sz w:val="18"/>
          <w:szCs w:val="18"/>
        </w:rPr>
        <w:t xml:space="preserve">surgery Department, Alexandria University, Egypt; and </w:t>
      </w:r>
      <w:r w:rsidRPr="00F80E5F">
        <w:rPr>
          <w:rFonts w:asciiTheme="majorBidi" w:hAnsiTheme="majorBidi" w:cstheme="majorBidi"/>
          <w:i/>
          <w:iCs/>
          <w:color w:val="000000"/>
          <w:sz w:val="18"/>
          <w:szCs w:val="18"/>
          <w:vertAlign w:val="superscript"/>
        </w:rPr>
        <w:t>3</w:t>
      </w:r>
      <w:r>
        <w:rPr>
          <w:rFonts w:asciiTheme="majorBidi" w:hAnsiTheme="majorBidi" w:cstheme="majorBidi"/>
          <w:i/>
          <w:iCs/>
          <w:color w:val="231F20"/>
          <w:sz w:val="18"/>
          <w:szCs w:val="18"/>
        </w:rPr>
        <w:t xml:space="preserve">Pathology </w:t>
      </w:r>
      <w:r w:rsidRPr="00F80E5F">
        <w:rPr>
          <w:rFonts w:asciiTheme="majorBidi" w:hAnsiTheme="majorBidi" w:cstheme="majorBidi"/>
          <w:i/>
          <w:iCs/>
          <w:color w:val="231F20"/>
          <w:sz w:val="18"/>
          <w:szCs w:val="18"/>
        </w:rPr>
        <w:t>Department, Alexandria University, Egypt.</w:t>
      </w:r>
    </w:p>
    <w:p w:rsidR="0096538F" w:rsidRDefault="0096538F" w:rsidP="0096538F">
      <w:pPr>
        <w:autoSpaceDE w:val="0"/>
        <w:autoSpaceDN w:val="0"/>
        <w:adjustRightInd w:val="0"/>
        <w:spacing w:after="0" w:line="360" w:lineRule="auto"/>
        <w:ind w:left="720" w:firstLine="720"/>
        <w:jc w:val="both"/>
        <w:rPr>
          <w:rFonts w:asciiTheme="majorBidi" w:eastAsiaTheme="minorHAnsi" w:hAnsiTheme="majorBidi" w:cstheme="majorBidi"/>
          <w:sz w:val="24"/>
          <w:szCs w:val="24"/>
        </w:rPr>
      </w:pPr>
    </w:p>
    <w:p w:rsidR="0096538F" w:rsidRDefault="0096538F" w:rsidP="0096538F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Theme="majorBidi" w:eastAsiaTheme="minorHAnsi" w:hAnsiTheme="majorBidi" w:cstheme="majorBidi"/>
          <w:sz w:val="24"/>
          <w:szCs w:val="24"/>
        </w:rPr>
      </w:pPr>
      <w:r w:rsidRPr="00957B94">
        <w:rPr>
          <w:rFonts w:asciiTheme="majorBidi" w:eastAsiaTheme="minorHAnsi" w:hAnsiTheme="majorBidi" w:cstheme="majorBidi"/>
          <w:b/>
          <w:sz w:val="24"/>
          <w:szCs w:val="24"/>
        </w:rPr>
        <w:t>Objectives:</w:t>
      </w:r>
      <w:r>
        <w:rPr>
          <w:rFonts w:asciiTheme="majorBidi" w:eastAsiaTheme="minorHAnsi" w:hAnsiTheme="majorBidi" w:cstheme="majorBidi"/>
          <w:b/>
          <w:sz w:val="24"/>
          <w:szCs w:val="24"/>
        </w:rPr>
        <w:t xml:space="preserve"> </w:t>
      </w:r>
      <w:r w:rsidRPr="008128D9">
        <w:rPr>
          <w:rFonts w:asciiTheme="majorBidi" w:eastAsiaTheme="minorHAnsi" w:hAnsiTheme="majorBidi" w:cstheme="majorBidi"/>
          <w:sz w:val="24"/>
          <w:szCs w:val="24"/>
        </w:rPr>
        <w:t xml:space="preserve">Multiparametric-MRI </w:t>
      </w:r>
      <w:r>
        <w:rPr>
          <w:rFonts w:asciiTheme="majorBidi" w:eastAsiaTheme="minorHAnsi" w:hAnsiTheme="majorBidi" w:cstheme="majorBidi"/>
          <w:sz w:val="24"/>
          <w:szCs w:val="24"/>
        </w:rPr>
        <w:t xml:space="preserve">(mp-MRI) </w:t>
      </w:r>
      <w:r w:rsidRPr="008128D9">
        <w:rPr>
          <w:rFonts w:asciiTheme="majorBidi" w:eastAsiaTheme="minorHAnsi" w:hAnsiTheme="majorBidi" w:cstheme="majorBidi"/>
          <w:sz w:val="24"/>
          <w:szCs w:val="24"/>
        </w:rPr>
        <w:t xml:space="preserve">is a comprehensive study determining </w:t>
      </w:r>
      <w:r>
        <w:rPr>
          <w:rFonts w:asciiTheme="majorBidi" w:eastAsiaTheme="minorHAnsi" w:hAnsiTheme="majorBidi" w:cstheme="majorBidi"/>
          <w:sz w:val="24"/>
          <w:szCs w:val="24"/>
        </w:rPr>
        <w:t xml:space="preserve">the local T staging of </w:t>
      </w:r>
      <w:r w:rsidRPr="008128D9">
        <w:rPr>
          <w:rFonts w:asciiTheme="majorBidi" w:eastAsiaTheme="minorHAnsi" w:hAnsiTheme="majorBidi" w:cstheme="majorBidi"/>
          <w:sz w:val="24"/>
          <w:szCs w:val="24"/>
        </w:rPr>
        <w:t>urinary bladder cancer</w:t>
      </w:r>
      <w:r>
        <w:rPr>
          <w:rFonts w:asciiTheme="majorBidi" w:eastAsiaTheme="minorHAnsi" w:hAnsiTheme="majorBidi" w:cstheme="majorBidi"/>
          <w:sz w:val="24"/>
          <w:szCs w:val="24"/>
        </w:rPr>
        <w:t xml:space="preserve"> and </w:t>
      </w:r>
      <w:r w:rsidRPr="008128D9">
        <w:rPr>
          <w:rFonts w:asciiTheme="majorBidi" w:eastAsiaTheme="minorHAnsi" w:hAnsiTheme="majorBidi" w:cstheme="majorBidi"/>
          <w:sz w:val="24"/>
          <w:szCs w:val="24"/>
        </w:rPr>
        <w:t xml:space="preserve">predicting histological grades </w:t>
      </w:r>
      <w:r>
        <w:rPr>
          <w:rFonts w:asciiTheme="majorBidi" w:eastAsiaTheme="minorHAnsi" w:hAnsiTheme="majorBidi" w:cstheme="majorBidi"/>
          <w:sz w:val="24"/>
          <w:szCs w:val="24"/>
        </w:rPr>
        <w:t xml:space="preserve">and </w:t>
      </w:r>
      <w:r w:rsidRPr="008128D9">
        <w:rPr>
          <w:rFonts w:asciiTheme="majorBidi" w:eastAsiaTheme="minorHAnsi" w:hAnsiTheme="majorBidi" w:cstheme="majorBidi"/>
          <w:sz w:val="24"/>
          <w:szCs w:val="24"/>
        </w:rPr>
        <w:t xml:space="preserve">metastatic nature of </w:t>
      </w:r>
      <w:r>
        <w:rPr>
          <w:rFonts w:asciiTheme="majorBidi" w:eastAsiaTheme="minorHAnsi" w:hAnsiTheme="majorBidi" w:cstheme="majorBidi"/>
          <w:sz w:val="24"/>
          <w:szCs w:val="24"/>
        </w:rPr>
        <w:t>lymph adenopathy</w:t>
      </w:r>
      <w:r w:rsidRPr="008128D9">
        <w:rPr>
          <w:rFonts w:asciiTheme="majorBidi" w:eastAsiaTheme="minorHAnsi" w:hAnsiTheme="majorBidi" w:cstheme="majorBidi"/>
          <w:sz w:val="24"/>
          <w:szCs w:val="24"/>
        </w:rPr>
        <w:t xml:space="preserve">. </w:t>
      </w:r>
      <w:r>
        <w:rPr>
          <w:rFonts w:asciiTheme="majorBidi" w:eastAsiaTheme="minorHAnsi" w:hAnsiTheme="majorBidi" w:cstheme="majorBidi"/>
          <w:sz w:val="24"/>
          <w:szCs w:val="24"/>
        </w:rPr>
        <w:t xml:space="preserve">We aimed </w:t>
      </w:r>
      <w:r w:rsidRPr="008128D9">
        <w:rPr>
          <w:rFonts w:asciiTheme="majorBidi" w:eastAsiaTheme="minorHAnsi" w:hAnsiTheme="majorBidi" w:cstheme="majorBidi"/>
          <w:sz w:val="24"/>
          <w:szCs w:val="24"/>
        </w:rPr>
        <w:t xml:space="preserve">to evaluate </w:t>
      </w:r>
      <w:r>
        <w:rPr>
          <w:rFonts w:asciiTheme="majorBidi" w:eastAsiaTheme="minorHAnsi" w:hAnsiTheme="majorBidi" w:cstheme="majorBidi"/>
          <w:sz w:val="24"/>
          <w:szCs w:val="24"/>
        </w:rPr>
        <w:t xml:space="preserve">combined its role </w:t>
      </w:r>
      <w:proofErr w:type="gramStart"/>
      <w:r>
        <w:rPr>
          <w:rFonts w:asciiTheme="majorBidi" w:eastAsiaTheme="minorHAnsi" w:hAnsiTheme="majorBidi" w:cstheme="majorBidi"/>
          <w:sz w:val="24"/>
          <w:szCs w:val="24"/>
        </w:rPr>
        <w:t xml:space="preserve">including  </w:t>
      </w:r>
      <w:r w:rsidRPr="008128D9">
        <w:rPr>
          <w:rFonts w:asciiTheme="majorBidi" w:eastAsiaTheme="minorHAnsi" w:hAnsiTheme="majorBidi" w:cstheme="majorBidi"/>
          <w:sz w:val="24"/>
          <w:szCs w:val="24"/>
        </w:rPr>
        <w:t>high</w:t>
      </w:r>
      <w:proofErr w:type="gramEnd"/>
      <w:r w:rsidRPr="008128D9">
        <w:rPr>
          <w:rFonts w:asciiTheme="majorBidi" w:eastAsiaTheme="minorHAnsi" w:hAnsiTheme="majorBidi" w:cstheme="majorBidi"/>
          <w:sz w:val="24"/>
          <w:szCs w:val="24"/>
        </w:rPr>
        <w:t xml:space="preserve"> resolution T2</w:t>
      </w:r>
      <w:r>
        <w:rPr>
          <w:rFonts w:asciiTheme="majorBidi" w:eastAsiaTheme="minorHAnsi" w:hAnsiTheme="majorBidi" w:cstheme="majorBidi"/>
          <w:sz w:val="24"/>
          <w:szCs w:val="24"/>
        </w:rPr>
        <w:t>WI</w:t>
      </w:r>
      <w:r w:rsidRPr="008128D9">
        <w:rPr>
          <w:rFonts w:asciiTheme="majorBidi" w:eastAsiaTheme="minorHAnsi" w:hAnsiTheme="majorBidi" w:cstheme="majorBidi"/>
          <w:sz w:val="24"/>
          <w:szCs w:val="24"/>
        </w:rPr>
        <w:t>,DWMRI and DCE-MRI in</w:t>
      </w:r>
      <w:r>
        <w:rPr>
          <w:rFonts w:asciiTheme="majorBidi" w:eastAsiaTheme="minorHAnsi" w:hAnsiTheme="majorBidi" w:cstheme="majorBidi"/>
          <w:sz w:val="24"/>
          <w:szCs w:val="24"/>
        </w:rPr>
        <w:t xml:space="preserve"> </w:t>
      </w:r>
      <w:r w:rsidRPr="008128D9">
        <w:rPr>
          <w:rFonts w:asciiTheme="majorBidi" w:eastAsiaTheme="minorHAnsi" w:hAnsiTheme="majorBidi" w:cstheme="majorBidi"/>
          <w:sz w:val="24"/>
          <w:szCs w:val="24"/>
        </w:rPr>
        <w:t xml:space="preserve">local staging </w:t>
      </w:r>
      <w:r>
        <w:rPr>
          <w:rFonts w:asciiTheme="majorBidi" w:eastAsiaTheme="minorHAnsi" w:hAnsiTheme="majorBidi" w:cstheme="majorBidi"/>
          <w:sz w:val="24"/>
          <w:szCs w:val="24"/>
        </w:rPr>
        <w:t xml:space="preserve">and </w:t>
      </w:r>
      <w:r w:rsidRPr="008128D9">
        <w:rPr>
          <w:rFonts w:asciiTheme="majorBidi" w:eastAsiaTheme="minorHAnsi" w:hAnsiTheme="majorBidi" w:cstheme="majorBidi"/>
          <w:sz w:val="24"/>
          <w:szCs w:val="24"/>
        </w:rPr>
        <w:t>grading of</w:t>
      </w:r>
      <w:r>
        <w:rPr>
          <w:rFonts w:asciiTheme="majorBidi" w:eastAsiaTheme="minorHAnsi" w:hAnsiTheme="majorBidi" w:cstheme="majorBidi"/>
          <w:sz w:val="24"/>
          <w:szCs w:val="24"/>
        </w:rPr>
        <w:t xml:space="preserve"> UB </w:t>
      </w:r>
      <w:r w:rsidRPr="008128D9">
        <w:rPr>
          <w:rFonts w:asciiTheme="majorBidi" w:eastAsiaTheme="minorHAnsi" w:hAnsiTheme="majorBidi" w:cstheme="majorBidi"/>
          <w:sz w:val="24"/>
          <w:szCs w:val="24"/>
        </w:rPr>
        <w:t>cancer.</w:t>
      </w:r>
    </w:p>
    <w:p w:rsidR="0096538F" w:rsidRDefault="0096538F" w:rsidP="0096538F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Theme="majorBidi" w:eastAsiaTheme="minorHAnsi" w:hAnsiTheme="majorBidi" w:cstheme="majorBidi"/>
          <w:sz w:val="24"/>
          <w:szCs w:val="24"/>
        </w:rPr>
      </w:pPr>
      <w:r w:rsidRPr="00957B94">
        <w:rPr>
          <w:rFonts w:asciiTheme="majorBidi" w:eastAsiaTheme="minorHAnsi" w:hAnsiTheme="majorBidi" w:cstheme="majorBidi"/>
          <w:b/>
          <w:sz w:val="24"/>
          <w:szCs w:val="24"/>
        </w:rPr>
        <w:t>Materials and methods:</w:t>
      </w:r>
      <w:r>
        <w:rPr>
          <w:rFonts w:asciiTheme="majorBidi" w:eastAsiaTheme="minorHAnsi" w:hAnsiTheme="majorBidi" w:cstheme="majorBidi"/>
          <w:b/>
          <w:sz w:val="24"/>
          <w:szCs w:val="24"/>
        </w:rPr>
        <w:t xml:space="preserve"> </w:t>
      </w:r>
      <w:r w:rsidRPr="008128D9">
        <w:rPr>
          <w:rFonts w:asciiTheme="majorBidi" w:eastAsiaTheme="minorHAnsi" w:hAnsiTheme="majorBidi" w:cstheme="majorBidi"/>
          <w:sz w:val="24"/>
          <w:szCs w:val="24"/>
        </w:rPr>
        <w:t xml:space="preserve">Fifty patients </w:t>
      </w:r>
      <w:r>
        <w:rPr>
          <w:rFonts w:asciiTheme="majorBidi" w:eastAsiaTheme="minorHAnsi" w:hAnsiTheme="majorBidi" w:cstheme="majorBidi"/>
          <w:sz w:val="24"/>
          <w:szCs w:val="24"/>
        </w:rPr>
        <w:t xml:space="preserve">previously diagnosed as cancer </w:t>
      </w:r>
      <w:r w:rsidRPr="008128D9">
        <w:rPr>
          <w:rFonts w:asciiTheme="majorBidi" w:eastAsiaTheme="minorHAnsi" w:hAnsiTheme="majorBidi" w:cstheme="majorBidi"/>
          <w:sz w:val="24"/>
          <w:szCs w:val="24"/>
        </w:rPr>
        <w:t>bladder</w:t>
      </w:r>
      <w:r>
        <w:rPr>
          <w:rFonts w:asciiTheme="majorBidi" w:eastAsiaTheme="minorHAnsi" w:hAnsiTheme="majorBidi" w:cstheme="majorBidi"/>
          <w:sz w:val="24"/>
          <w:szCs w:val="24"/>
        </w:rPr>
        <w:t xml:space="preserve"> </w:t>
      </w:r>
      <w:r w:rsidRPr="008128D9">
        <w:rPr>
          <w:rFonts w:asciiTheme="majorBidi" w:eastAsiaTheme="minorHAnsi" w:hAnsiTheme="majorBidi" w:cstheme="majorBidi"/>
          <w:sz w:val="24"/>
          <w:szCs w:val="24"/>
        </w:rPr>
        <w:t xml:space="preserve">were prospectively included </w:t>
      </w:r>
      <w:r>
        <w:rPr>
          <w:rFonts w:asciiTheme="majorBidi" w:eastAsiaTheme="minorHAnsi" w:hAnsiTheme="majorBidi" w:cstheme="majorBidi"/>
          <w:sz w:val="24"/>
          <w:szCs w:val="24"/>
        </w:rPr>
        <w:t>and, e</w:t>
      </w:r>
      <w:r w:rsidRPr="008128D9">
        <w:rPr>
          <w:rFonts w:asciiTheme="majorBidi" w:eastAsiaTheme="minorHAnsi" w:hAnsiTheme="majorBidi" w:cstheme="majorBidi"/>
          <w:sz w:val="24"/>
          <w:szCs w:val="24"/>
        </w:rPr>
        <w:t>ach image set evaluated &amp; the collective m</w:t>
      </w:r>
      <w:r>
        <w:rPr>
          <w:rFonts w:asciiTheme="majorBidi" w:eastAsiaTheme="minorHAnsi" w:hAnsiTheme="majorBidi" w:cstheme="majorBidi"/>
          <w:sz w:val="24"/>
          <w:szCs w:val="24"/>
        </w:rPr>
        <w:t>p-</w:t>
      </w:r>
      <w:r w:rsidRPr="008128D9">
        <w:rPr>
          <w:rFonts w:asciiTheme="majorBidi" w:eastAsiaTheme="minorHAnsi" w:hAnsiTheme="majorBidi" w:cstheme="majorBidi"/>
          <w:sz w:val="24"/>
          <w:szCs w:val="24"/>
        </w:rPr>
        <w:t xml:space="preserve">MRI data were interpreted and discrepancies resolved by consensus. </w:t>
      </w:r>
      <w:r>
        <w:rPr>
          <w:rFonts w:asciiTheme="majorBidi" w:eastAsiaTheme="minorHAnsi" w:hAnsiTheme="majorBidi" w:cstheme="majorBidi"/>
          <w:sz w:val="24"/>
          <w:szCs w:val="24"/>
        </w:rPr>
        <w:t>A</w:t>
      </w:r>
      <w:r w:rsidRPr="008128D9">
        <w:rPr>
          <w:rFonts w:asciiTheme="majorBidi" w:eastAsiaTheme="minorHAnsi" w:hAnsiTheme="majorBidi" w:cstheme="majorBidi"/>
          <w:sz w:val="24"/>
          <w:szCs w:val="24"/>
        </w:rPr>
        <w:t>ccuracy of the</w:t>
      </w:r>
      <w:r>
        <w:rPr>
          <w:rFonts w:asciiTheme="majorBidi" w:eastAsiaTheme="minorHAnsi" w:hAnsiTheme="majorBidi" w:cstheme="majorBidi"/>
          <w:sz w:val="24"/>
          <w:szCs w:val="24"/>
        </w:rPr>
        <w:t xml:space="preserve">se techniques </w:t>
      </w:r>
      <w:r w:rsidRPr="008128D9">
        <w:rPr>
          <w:rFonts w:asciiTheme="majorBidi" w:eastAsiaTheme="minorHAnsi" w:hAnsiTheme="majorBidi" w:cstheme="majorBidi"/>
          <w:sz w:val="24"/>
          <w:szCs w:val="24"/>
        </w:rPr>
        <w:t xml:space="preserve">in local staging of bladder tumors </w:t>
      </w:r>
      <w:r>
        <w:rPr>
          <w:rFonts w:asciiTheme="majorBidi" w:eastAsiaTheme="minorHAnsi" w:hAnsiTheme="majorBidi" w:cstheme="majorBidi"/>
          <w:sz w:val="24"/>
          <w:szCs w:val="24"/>
        </w:rPr>
        <w:t xml:space="preserve">(separately and in conjunction) </w:t>
      </w:r>
      <w:r w:rsidRPr="008128D9">
        <w:rPr>
          <w:rFonts w:asciiTheme="majorBidi" w:eastAsiaTheme="minorHAnsi" w:hAnsiTheme="majorBidi" w:cstheme="majorBidi"/>
          <w:sz w:val="24"/>
          <w:szCs w:val="24"/>
        </w:rPr>
        <w:t xml:space="preserve">was evaluated using the histopathological findings as the reference gold standard. </w:t>
      </w:r>
    </w:p>
    <w:p w:rsidR="0096538F" w:rsidRDefault="0096538F" w:rsidP="0096538F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Theme="majorBidi" w:eastAsiaTheme="minorHAnsi" w:hAnsiTheme="majorBidi" w:cstheme="majorBidi"/>
          <w:sz w:val="28"/>
          <w:szCs w:val="28"/>
        </w:rPr>
      </w:pPr>
      <w:r w:rsidRPr="00957B94">
        <w:rPr>
          <w:rFonts w:asciiTheme="majorBidi" w:eastAsiaTheme="minorHAnsi" w:hAnsiTheme="majorBidi" w:cstheme="majorBidi"/>
          <w:b/>
          <w:sz w:val="24"/>
          <w:szCs w:val="24"/>
        </w:rPr>
        <w:t>Results:</w:t>
      </w:r>
      <w:r>
        <w:rPr>
          <w:rFonts w:asciiTheme="majorBidi" w:eastAsiaTheme="minorHAnsi" w:hAnsiTheme="majorBidi" w:cstheme="majorBidi"/>
          <w:b/>
          <w:sz w:val="24"/>
          <w:szCs w:val="24"/>
        </w:rPr>
        <w:t xml:space="preserve"> </w:t>
      </w:r>
      <w:r>
        <w:rPr>
          <w:rFonts w:asciiTheme="majorBidi" w:eastAsiaTheme="minorHAnsi" w:hAnsiTheme="majorBidi" w:cstheme="majorBidi"/>
          <w:sz w:val="24"/>
          <w:szCs w:val="24"/>
        </w:rPr>
        <w:t>D</w:t>
      </w:r>
      <w:r w:rsidRPr="008128D9">
        <w:rPr>
          <w:rFonts w:asciiTheme="majorBidi" w:eastAsiaTheme="minorHAnsi" w:hAnsiTheme="majorBidi" w:cstheme="majorBidi"/>
          <w:sz w:val="24"/>
          <w:szCs w:val="24"/>
        </w:rPr>
        <w:t>iagnostic accuracy in local staging</w:t>
      </w:r>
      <w:r>
        <w:rPr>
          <w:rFonts w:asciiTheme="majorBidi" w:eastAsiaTheme="minorHAnsi" w:hAnsiTheme="majorBidi" w:cstheme="majorBidi"/>
          <w:sz w:val="24"/>
          <w:szCs w:val="24"/>
        </w:rPr>
        <w:t xml:space="preserve"> </w:t>
      </w:r>
      <w:r w:rsidRPr="008128D9">
        <w:rPr>
          <w:rFonts w:asciiTheme="majorBidi" w:eastAsiaTheme="minorHAnsi" w:hAnsiTheme="majorBidi" w:cstheme="majorBidi"/>
          <w:sz w:val="24"/>
          <w:szCs w:val="24"/>
        </w:rPr>
        <w:t>of bladder carcinomas</w:t>
      </w:r>
      <w:r>
        <w:rPr>
          <w:rFonts w:asciiTheme="majorBidi" w:eastAsiaTheme="minorHAnsi" w:hAnsiTheme="majorBidi" w:cstheme="majorBidi"/>
          <w:sz w:val="24"/>
          <w:szCs w:val="24"/>
        </w:rPr>
        <w:t xml:space="preserve"> </w:t>
      </w:r>
      <w:r w:rsidRPr="008128D9">
        <w:rPr>
          <w:rFonts w:asciiTheme="majorBidi" w:eastAsiaTheme="minorHAnsi" w:hAnsiTheme="majorBidi" w:cstheme="majorBidi"/>
          <w:sz w:val="24"/>
          <w:szCs w:val="24"/>
        </w:rPr>
        <w:t xml:space="preserve">of the multiparametric-MRI (88%) was superior </w:t>
      </w:r>
      <w:r>
        <w:rPr>
          <w:rFonts w:asciiTheme="majorBidi" w:eastAsiaTheme="minorHAnsi" w:hAnsiTheme="majorBidi" w:cstheme="majorBidi"/>
          <w:sz w:val="24"/>
          <w:szCs w:val="24"/>
        </w:rPr>
        <w:t xml:space="preserve">when compared </w:t>
      </w:r>
      <w:r w:rsidRPr="008128D9">
        <w:rPr>
          <w:rFonts w:asciiTheme="majorBidi" w:eastAsiaTheme="minorHAnsi" w:hAnsiTheme="majorBidi" w:cstheme="majorBidi"/>
          <w:sz w:val="24"/>
          <w:szCs w:val="24"/>
        </w:rPr>
        <w:t>to DW-MRI (82%), DCE-MRI (74%) &amp; T2W-MRI (52%) in differentiating non-muscle invasive from muscle invasive &amp; in differentiating organ-confined from non organ-confined tumors respectively. The agreement between the multiparametric-MRI and histopathological staging (κ=0.782) were greater than DW-MRI (κ=0.679) &amp; DCE-MRI (κ=0.566) and T2W-MRI (κ=0.274). Over</w:t>
      </w:r>
      <w:r>
        <w:rPr>
          <w:rFonts w:asciiTheme="majorBidi" w:eastAsiaTheme="minorHAnsi" w:hAnsiTheme="majorBidi" w:cstheme="majorBidi"/>
          <w:sz w:val="24"/>
          <w:szCs w:val="24"/>
        </w:rPr>
        <w:t xml:space="preserve"> </w:t>
      </w:r>
      <w:r w:rsidRPr="008128D9">
        <w:rPr>
          <w:rFonts w:asciiTheme="majorBidi" w:eastAsiaTheme="minorHAnsi" w:hAnsiTheme="majorBidi" w:cstheme="majorBidi"/>
          <w:sz w:val="24"/>
          <w:szCs w:val="24"/>
        </w:rPr>
        <w:t>staging</w:t>
      </w:r>
      <w:r>
        <w:rPr>
          <w:rFonts w:asciiTheme="majorBidi" w:eastAsiaTheme="minorHAnsi" w:hAnsiTheme="majorBidi" w:cstheme="majorBidi"/>
          <w:sz w:val="24"/>
          <w:szCs w:val="24"/>
        </w:rPr>
        <w:t xml:space="preserve"> </w:t>
      </w:r>
      <w:r w:rsidRPr="008128D9">
        <w:rPr>
          <w:rFonts w:asciiTheme="majorBidi" w:eastAsiaTheme="minorHAnsi" w:hAnsiTheme="majorBidi" w:cstheme="majorBidi"/>
          <w:sz w:val="24"/>
          <w:szCs w:val="24"/>
        </w:rPr>
        <w:t xml:space="preserve">decreased from (48%) </w:t>
      </w:r>
      <w:r>
        <w:rPr>
          <w:rFonts w:asciiTheme="majorBidi" w:eastAsiaTheme="minorHAnsi" w:hAnsiTheme="majorBidi" w:cstheme="majorBidi"/>
          <w:sz w:val="24"/>
          <w:szCs w:val="24"/>
        </w:rPr>
        <w:t xml:space="preserve">using </w:t>
      </w:r>
      <w:r w:rsidRPr="008128D9">
        <w:rPr>
          <w:rFonts w:asciiTheme="majorBidi" w:eastAsiaTheme="minorHAnsi" w:hAnsiTheme="majorBidi" w:cstheme="majorBidi"/>
          <w:sz w:val="24"/>
          <w:szCs w:val="24"/>
        </w:rPr>
        <w:t xml:space="preserve">T2W, </w:t>
      </w:r>
      <w:r>
        <w:rPr>
          <w:rFonts w:asciiTheme="majorBidi" w:eastAsiaTheme="minorHAnsi" w:hAnsiTheme="majorBidi" w:cstheme="majorBidi"/>
          <w:sz w:val="24"/>
          <w:szCs w:val="24"/>
        </w:rPr>
        <w:t>or</w:t>
      </w:r>
      <w:r w:rsidRPr="008128D9">
        <w:rPr>
          <w:rFonts w:asciiTheme="majorBidi" w:eastAsiaTheme="minorHAnsi" w:hAnsiTheme="majorBidi" w:cstheme="majorBidi"/>
          <w:sz w:val="24"/>
          <w:szCs w:val="24"/>
        </w:rPr>
        <w:t xml:space="preserve"> (26%) using DCE-MRI, </w:t>
      </w:r>
      <w:r>
        <w:rPr>
          <w:rFonts w:asciiTheme="majorBidi" w:eastAsiaTheme="minorHAnsi" w:hAnsiTheme="majorBidi" w:cstheme="majorBidi"/>
          <w:sz w:val="24"/>
          <w:szCs w:val="24"/>
        </w:rPr>
        <w:t>or</w:t>
      </w:r>
      <w:r w:rsidRPr="008128D9">
        <w:rPr>
          <w:rFonts w:asciiTheme="majorBidi" w:eastAsiaTheme="minorHAnsi" w:hAnsiTheme="majorBidi" w:cstheme="majorBidi"/>
          <w:sz w:val="24"/>
          <w:szCs w:val="24"/>
        </w:rPr>
        <w:t xml:space="preserve"> (18%) using DW to (12%) </w:t>
      </w:r>
      <w:r>
        <w:rPr>
          <w:rFonts w:asciiTheme="majorBidi" w:eastAsiaTheme="minorHAnsi" w:hAnsiTheme="majorBidi" w:cstheme="majorBidi"/>
          <w:sz w:val="24"/>
          <w:szCs w:val="24"/>
        </w:rPr>
        <w:t xml:space="preserve">using </w:t>
      </w:r>
      <w:r w:rsidRPr="008128D9">
        <w:rPr>
          <w:rFonts w:asciiTheme="majorBidi" w:eastAsiaTheme="minorHAnsi" w:hAnsiTheme="majorBidi" w:cstheme="majorBidi"/>
          <w:sz w:val="24"/>
          <w:szCs w:val="24"/>
        </w:rPr>
        <w:t>multiparametric-MRI. Low ADC values and time-intensity curve grades from DCE-MRI were compared with the histological grades &amp; stages of urinary carcinomas &amp; showed significant correlation. The size criteria of the lymph nodes, their restriction &amp; low ADC values in DW-MRI suggest</w:t>
      </w:r>
      <w:r>
        <w:rPr>
          <w:rFonts w:asciiTheme="majorBidi" w:eastAsiaTheme="minorHAnsi" w:hAnsiTheme="majorBidi" w:cstheme="majorBidi"/>
          <w:sz w:val="24"/>
          <w:szCs w:val="24"/>
        </w:rPr>
        <w:t xml:space="preserve"> </w:t>
      </w:r>
      <w:r w:rsidRPr="008128D9">
        <w:rPr>
          <w:rFonts w:asciiTheme="majorBidi" w:eastAsiaTheme="minorHAnsi" w:hAnsiTheme="majorBidi" w:cstheme="majorBidi"/>
          <w:sz w:val="24"/>
          <w:szCs w:val="24"/>
        </w:rPr>
        <w:t>their metastatic nature.</w:t>
      </w:r>
    </w:p>
    <w:p w:rsidR="0096538F" w:rsidRDefault="0096538F" w:rsidP="0096538F">
      <w:pPr>
        <w:pStyle w:val="Default"/>
        <w:spacing w:line="36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  <w:color w:val="auto"/>
          <w:szCs w:val="28"/>
        </w:rPr>
        <w:t xml:space="preserve">            </w:t>
      </w:r>
      <w:r w:rsidRPr="00957B94">
        <w:rPr>
          <w:rFonts w:asciiTheme="majorBidi" w:hAnsiTheme="majorBidi" w:cstheme="majorBidi"/>
          <w:b/>
          <w:bCs/>
          <w:color w:val="auto"/>
          <w:szCs w:val="28"/>
        </w:rPr>
        <w:t>Conclusion:</w:t>
      </w:r>
      <w:r>
        <w:rPr>
          <w:rFonts w:asciiTheme="majorBidi" w:hAnsiTheme="majorBidi" w:cstheme="majorBidi"/>
          <w:b/>
          <w:bCs/>
          <w:color w:val="auto"/>
          <w:szCs w:val="28"/>
        </w:rPr>
        <w:t xml:space="preserve"> </w:t>
      </w:r>
      <w:r>
        <w:rPr>
          <w:rFonts w:asciiTheme="majorBidi" w:hAnsiTheme="majorBidi" w:cstheme="majorBidi"/>
          <w:bCs/>
          <w:color w:val="auto"/>
        </w:rPr>
        <w:t>mp</w:t>
      </w:r>
      <w:r w:rsidRPr="00957B94">
        <w:rPr>
          <w:rFonts w:asciiTheme="majorBidi" w:hAnsiTheme="majorBidi" w:cstheme="majorBidi"/>
        </w:rPr>
        <w:t xml:space="preserve">-MRI is comprehensive &amp; effective tool for determining local T stages, </w:t>
      </w:r>
    </w:p>
    <w:p w:rsidR="0096538F" w:rsidRDefault="0096538F" w:rsidP="0096538F">
      <w:pPr>
        <w:pStyle w:val="Default"/>
        <w:spacing w:line="36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    </w:t>
      </w:r>
      <w:proofErr w:type="gramStart"/>
      <w:r w:rsidRPr="00957B94">
        <w:rPr>
          <w:rFonts w:asciiTheme="majorBidi" w:hAnsiTheme="majorBidi" w:cstheme="majorBidi"/>
        </w:rPr>
        <w:t>and</w:t>
      </w:r>
      <w:proofErr w:type="gramEnd"/>
      <w:r w:rsidRPr="00957B94">
        <w:rPr>
          <w:rFonts w:asciiTheme="majorBidi" w:hAnsiTheme="majorBidi" w:cstheme="majorBidi"/>
        </w:rPr>
        <w:t xml:space="preserve"> the histological grades of urinary bladder cancers. </w:t>
      </w:r>
      <w:r>
        <w:rPr>
          <w:rFonts w:asciiTheme="majorBidi" w:hAnsiTheme="majorBidi" w:cstheme="majorBidi"/>
        </w:rPr>
        <w:t>Also, i</w:t>
      </w:r>
      <w:r w:rsidRPr="00957B94">
        <w:rPr>
          <w:rFonts w:asciiTheme="majorBidi" w:hAnsiTheme="majorBidi" w:cstheme="majorBidi"/>
        </w:rPr>
        <w:t xml:space="preserve">t predicts nature &amp; stages </w:t>
      </w:r>
      <w:r>
        <w:rPr>
          <w:rFonts w:asciiTheme="majorBidi" w:hAnsiTheme="majorBidi" w:cstheme="majorBidi"/>
        </w:rPr>
        <w:t xml:space="preserve">                </w:t>
      </w:r>
    </w:p>
    <w:p w:rsidR="0096538F" w:rsidRPr="00957B94" w:rsidRDefault="0096538F" w:rsidP="0096538F">
      <w:pPr>
        <w:pStyle w:val="Default"/>
        <w:spacing w:line="36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   </w:t>
      </w:r>
      <w:proofErr w:type="gramStart"/>
      <w:r w:rsidRPr="00957B94">
        <w:rPr>
          <w:rFonts w:asciiTheme="majorBidi" w:hAnsiTheme="majorBidi" w:cstheme="majorBidi"/>
        </w:rPr>
        <w:t>of</w:t>
      </w:r>
      <w:proofErr w:type="gramEnd"/>
      <w:r w:rsidRPr="00957B94">
        <w:rPr>
          <w:rFonts w:asciiTheme="majorBidi" w:hAnsiTheme="majorBidi" w:cstheme="majorBidi"/>
        </w:rPr>
        <w:t xml:space="preserve"> local lymph nodes, exhibiting high diagnostic performance</w:t>
      </w:r>
      <w:r>
        <w:rPr>
          <w:rFonts w:asciiTheme="majorBidi" w:hAnsiTheme="majorBidi" w:cstheme="majorBidi"/>
        </w:rPr>
        <w:t xml:space="preserve"> </w:t>
      </w:r>
      <w:r w:rsidRPr="00957B94">
        <w:rPr>
          <w:rFonts w:asciiTheme="majorBidi" w:hAnsiTheme="majorBidi" w:cstheme="majorBidi"/>
        </w:rPr>
        <w:t xml:space="preserve">with excellent objectivity. </w:t>
      </w:r>
    </w:p>
    <w:p w:rsidR="0096538F" w:rsidRDefault="0096538F" w:rsidP="0096538F">
      <w:pPr>
        <w:pStyle w:val="Default"/>
        <w:rPr>
          <w:rFonts w:asciiTheme="majorBidi" w:hAnsiTheme="majorBidi" w:cstheme="majorBidi"/>
          <w:b/>
          <w:bCs/>
          <w:color w:val="auto"/>
        </w:rPr>
      </w:pPr>
      <w:r>
        <w:rPr>
          <w:rFonts w:asciiTheme="majorBidi" w:hAnsiTheme="majorBidi" w:cstheme="majorBidi"/>
          <w:b/>
          <w:bCs/>
          <w:color w:val="auto"/>
        </w:rPr>
        <w:t xml:space="preserve">          </w:t>
      </w:r>
    </w:p>
    <w:p w:rsidR="0096538F" w:rsidRDefault="0096538F" w:rsidP="0096538F">
      <w:pPr>
        <w:pStyle w:val="Default"/>
        <w:rPr>
          <w:rFonts w:asciiTheme="majorBidi" w:hAnsiTheme="majorBidi" w:cstheme="majorBidi"/>
          <w:b/>
          <w:bCs/>
          <w:color w:val="auto"/>
        </w:rPr>
      </w:pPr>
      <w:r>
        <w:rPr>
          <w:rFonts w:asciiTheme="majorBidi" w:hAnsiTheme="majorBidi" w:cstheme="majorBidi"/>
          <w:b/>
          <w:bCs/>
          <w:color w:val="auto"/>
        </w:rPr>
        <w:t xml:space="preserve">            Keywords:</w:t>
      </w:r>
    </w:p>
    <w:p w:rsidR="0096538F" w:rsidRPr="00AF722C" w:rsidRDefault="0096538F" w:rsidP="0096538F">
      <w:pPr>
        <w:pStyle w:val="Default"/>
        <w:rPr>
          <w:rFonts w:asciiTheme="majorBidi" w:hAnsiTheme="majorBidi" w:cstheme="majorBidi"/>
          <w:bCs/>
          <w:color w:val="auto"/>
        </w:rPr>
      </w:pPr>
      <w:r w:rsidRPr="00AF722C">
        <w:rPr>
          <w:rFonts w:asciiTheme="majorBidi" w:hAnsiTheme="majorBidi" w:cstheme="majorBidi"/>
          <w:bCs/>
          <w:color w:val="auto"/>
        </w:rPr>
        <w:t xml:space="preserve">   </w:t>
      </w:r>
      <w:r>
        <w:rPr>
          <w:rFonts w:asciiTheme="majorBidi" w:hAnsiTheme="majorBidi" w:cstheme="majorBidi"/>
          <w:bCs/>
          <w:color w:val="auto"/>
        </w:rPr>
        <w:t xml:space="preserve"> </w:t>
      </w:r>
      <w:r w:rsidRPr="00AF722C">
        <w:rPr>
          <w:rFonts w:asciiTheme="majorBidi" w:hAnsiTheme="majorBidi" w:cstheme="majorBidi"/>
          <w:bCs/>
          <w:color w:val="auto"/>
        </w:rPr>
        <w:t xml:space="preserve">        Multiparametric -MRI – Urinary-Bladder-Cancer-Staging   </w:t>
      </w:r>
    </w:p>
    <w:sectPr w:rsidR="0096538F" w:rsidRPr="00AF722C" w:rsidSect="004713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6538F"/>
    <w:rsid w:val="004713F5"/>
    <w:rsid w:val="005D52B1"/>
    <w:rsid w:val="00965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3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6538F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2120</Characters>
  <Application>Microsoft Office Word</Application>
  <DocSecurity>0</DocSecurity>
  <Lines>17</Lines>
  <Paragraphs>4</Paragraphs>
  <ScaleCrop>false</ScaleCrop>
  <Company/>
  <LinksUpToDate>false</LinksUpToDate>
  <CharactersWithSpaces>2487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3</cp:revision>
  <dcterms:created xsi:type="dcterms:W3CDTF">2016-10-27T14:44:00Z</dcterms:created>
  <dcterms:modified xsi:type="dcterms:W3CDTF">2017-06-20T23:15:00Z</dcterms:modified>
</cp:coreProperties>
</file>