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51DC" w:rsidRDefault="005B1497">
      <w:bookmarkStart w:id="0" w:name="_GoBack"/>
      <w:bookmarkEnd w:id="0"/>
      <w:r>
        <w:rPr>
          <w:noProof/>
          <w:lang w:eastAsia="en-IN"/>
        </w:rPr>
        <w:drawing>
          <wp:inline distT="0" distB="0" distL="0" distR="0">
            <wp:extent cx="5731510" cy="2720969"/>
            <wp:effectExtent l="0" t="0" r="2540" b="3810"/>
            <wp:docPr id="1" name="Picture 1" descr="C:\Users\molecularbio-minl\Desktop\tt 66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olecularbio-minl\Desktop\tt 666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7209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D51D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2195"/>
    <w:rsid w:val="005B1497"/>
    <w:rsid w:val="00A606B2"/>
    <w:rsid w:val="00C42195"/>
    <w:rsid w:val="00ED5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B14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14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B14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14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International Biochemistry and Molecular Biology</dc:creator>
  <cp:lastModifiedBy>Nursing Care America</cp:lastModifiedBy>
  <cp:revision>2</cp:revision>
  <dcterms:created xsi:type="dcterms:W3CDTF">2020-01-10T07:47:00Z</dcterms:created>
  <dcterms:modified xsi:type="dcterms:W3CDTF">2020-01-10T07:47:00Z</dcterms:modified>
</cp:coreProperties>
</file>