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F8B7F" w14:textId="06F5DFA2" w:rsidR="009A4CCB" w:rsidRDefault="00E723EA" w:rsidP="00E723EA">
      <w:pPr>
        <w:autoSpaceDE w:val="0"/>
        <w:autoSpaceDN w:val="0"/>
        <w:adjustRightInd w:val="0"/>
        <w:spacing w:after="0" w:line="240" w:lineRule="auto"/>
        <w:rPr>
          <w:rFonts w:ascii="Minion Pro" w:hAnsi="Minion Pro" w:cs="Arial"/>
          <w:sz w:val="36"/>
          <w:szCs w:val="36"/>
        </w:rPr>
      </w:pPr>
      <w:r w:rsidRPr="00E723EA">
        <w:rPr>
          <w:rFonts w:ascii="Minion Pro" w:hAnsi="Minion Pro" w:cs="Arial"/>
          <w:sz w:val="36"/>
          <w:szCs w:val="36"/>
        </w:rPr>
        <w:t xml:space="preserve">Respiratory Management of the Newborn with an </w:t>
      </w:r>
      <w:proofErr w:type="spellStart"/>
      <w:r w:rsidRPr="00E723EA">
        <w:rPr>
          <w:rFonts w:ascii="Minion Pro" w:hAnsi="Minion Pro" w:cs="Arial"/>
          <w:sz w:val="36"/>
          <w:szCs w:val="36"/>
        </w:rPr>
        <w:t>Omphalocele</w:t>
      </w:r>
      <w:proofErr w:type="spellEnd"/>
    </w:p>
    <w:p w14:paraId="5EB3D38E" w14:textId="33C7E56C" w:rsidR="00E723EA" w:rsidRPr="00E723EA" w:rsidRDefault="00E723EA" w:rsidP="00E723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>Joanne Baerg MD</w:t>
      </w:r>
    </w:p>
    <w:p w14:paraId="7D678212" w14:textId="77777777" w:rsidR="00E723EA" w:rsidRPr="00E723EA" w:rsidRDefault="00E723EA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</w:p>
    <w:p w14:paraId="16F8912D" w14:textId="07860E16" w:rsidR="009A4CCB" w:rsidRPr="00E723EA" w:rsidRDefault="009A4CCB" w:rsidP="002B68A1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An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</w:t>
      </w:r>
      <w:r w:rsidR="002B68A1" w:rsidRPr="00E723EA">
        <w:rPr>
          <w:rFonts w:asciiTheme="majorHAnsi" w:hAnsiTheme="majorHAnsi" w:cs="Arial"/>
          <w:sz w:val="20"/>
          <w:szCs w:val="20"/>
        </w:rPr>
        <w:t>alocele</w:t>
      </w:r>
      <w:proofErr w:type="spellEnd"/>
      <w:r w:rsidR="002B68A1" w:rsidRPr="00E723EA">
        <w:rPr>
          <w:rFonts w:asciiTheme="majorHAnsi" w:hAnsiTheme="majorHAnsi" w:cs="Arial"/>
          <w:sz w:val="20"/>
          <w:szCs w:val="20"/>
        </w:rPr>
        <w:t xml:space="preserve"> is a congenital </w:t>
      </w:r>
      <w:r w:rsidRPr="00E723EA">
        <w:rPr>
          <w:rFonts w:asciiTheme="majorHAnsi" w:hAnsiTheme="majorHAnsi" w:cs="Arial"/>
          <w:sz w:val="20"/>
          <w:szCs w:val="20"/>
        </w:rPr>
        <w:t>defect of the umbilical ring with herniati</w:t>
      </w:r>
      <w:r w:rsidR="002B68A1" w:rsidRPr="00E723EA">
        <w:rPr>
          <w:rFonts w:asciiTheme="majorHAnsi" w:hAnsiTheme="majorHAnsi" w:cs="Arial"/>
          <w:sz w:val="20"/>
          <w:szCs w:val="20"/>
        </w:rPr>
        <w:t>on of the</w:t>
      </w:r>
      <w:r w:rsidRPr="00E723EA">
        <w:rPr>
          <w:rFonts w:asciiTheme="majorHAnsi" w:hAnsiTheme="majorHAnsi" w:cs="Arial"/>
          <w:sz w:val="20"/>
          <w:szCs w:val="20"/>
        </w:rPr>
        <w:t xml:space="preserve"> viscera.</w:t>
      </w:r>
      <w:r w:rsidR="00D4641E" w:rsidRPr="00E723EA">
        <w:rPr>
          <w:rFonts w:asciiTheme="majorHAnsi" w:hAnsiTheme="majorHAnsi" w:cs="Arial"/>
          <w:sz w:val="20"/>
          <w:szCs w:val="20"/>
        </w:rPr>
        <w:t xml:space="preserve">  </w:t>
      </w:r>
      <w:r w:rsidRPr="00E723EA">
        <w:rPr>
          <w:rFonts w:asciiTheme="majorHAnsi" w:hAnsiTheme="majorHAnsi" w:cs="Arial"/>
          <w:sz w:val="20"/>
          <w:szCs w:val="20"/>
        </w:rPr>
        <w:t>Despite advances in neonatal care, for live-born infants, the mortality rate remains between five and twenty-five percent. Respiratory failure at birth</w:t>
      </w:r>
      <w:r w:rsidR="00D4641E" w:rsidRPr="00E723EA">
        <w:rPr>
          <w:rFonts w:asciiTheme="majorHAnsi" w:hAnsiTheme="majorHAnsi" w:cs="Arial"/>
          <w:sz w:val="20"/>
          <w:szCs w:val="20"/>
        </w:rPr>
        <w:t xml:space="preserve"> is </w:t>
      </w:r>
      <w:r w:rsidRPr="00E723EA">
        <w:rPr>
          <w:rFonts w:asciiTheme="majorHAnsi" w:hAnsiTheme="majorHAnsi" w:cs="Arial"/>
          <w:sz w:val="20"/>
          <w:szCs w:val="20"/>
        </w:rPr>
        <w:t>an independent predictor of mortality for</w:t>
      </w:r>
      <w:r w:rsidR="00D4641E" w:rsidRPr="00E723EA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="00D4641E" w:rsidRPr="00E723EA">
        <w:rPr>
          <w:rFonts w:asciiTheme="majorHAnsi" w:hAnsiTheme="majorHAnsi" w:cs="Arial"/>
          <w:sz w:val="20"/>
          <w:szCs w:val="20"/>
        </w:rPr>
        <w:t>omphalocele</w:t>
      </w:r>
      <w:proofErr w:type="spellEnd"/>
      <w:r w:rsidR="00D4641E" w:rsidRPr="00E723EA">
        <w:rPr>
          <w:rFonts w:asciiTheme="majorHAnsi" w:hAnsiTheme="majorHAnsi" w:cs="Arial"/>
          <w:sz w:val="20"/>
          <w:szCs w:val="20"/>
        </w:rPr>
        <w:t xml:space="preserve"> infants</w:t>
      </w:r>
      <w:r w:rsidRPr="00E723EA">
        <w:rPr>
          <w:rFonts w:asciiTheme="majorHAnsi" w:hAnsiTheme="majorHAnsi" w:cs="Arial"/>
          <w:sz w:val="20"/>
          <w:szCs w:val="20"/>
        </w:rPr>
        <w:t xml:space="preserve">, but the causes are diverse. </w:t>
      </w:r>
    </w:p>
    <w:p w14:paraId="58E61B86" w14:textId="5A79C83F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In this presentation, giant and non-giant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omphaloceles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 xml:space="preserve"> are compared, as giant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</w:t>
      </w:r>
      <w:r w:rsidR="002B68A1" w:rsidRPr="00E723EA">
        <w:rPr>
          <w:rFonts w:asciiTheme="majorHAnsi" w:hAnsiTheme="majorHAnsi" w:cs="Arial"/>
          <w:sz w:val="20"/>
          <w:szCs w:val="20"/>
        </w:rPr>
        <w:t>s</w:t>
      </w:r>
      <w:proofErr w:type="spellEnd"/>
      <w:r w:rsidR="002B68A1" w:rsidRPr="00E723EA">
        <w:rPr>
          <w:rFonts w:asciiTheme="majorHAnsi" w:hAnsiTheme="majorHAnsi" w:cs="Arial"/>
          <w:sz w:val="20"/>
          <w:szCs w:val="20"/>
        </w:rPr>
        <w:t xml:space="preserve"> </w:t>
      </w:r>
      <w:r w:rsidR="00D4641E" w:rsidRPr="00E723EA">
        <w:rPr>
          <w:rFonts w:asciiTheme="majorHAnsi" w:hAnsiTheme="majorHAnsi" w:cs="Arial"/>
          <w:sz w:val="20"/>
          <w:szCs w:val="20"/>
        </w:rPr>
        <w:t>have</w:t>
      </w:r>
      <w:r w:rsidRPr="00E723EA">
        <w:rPr>
          <w:rFonts w:asciiTheme="majorHAnsi" w:hAnsiTheme="majorHAnsi" w:cs="Arial"/>
          <w:sz w:val="20"/>
          <w:szCs w:val="20"/>
        </w:rPr>
        <w:t xml:space="preserve"> more respiratory difficulties.</w:t>
      </w:r>
    </w:p>
    <w:p w14:paraId="0EBADC05" w14:textId="422A55D1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Prenatal predictors of post-natal </w:t>
      </w:r>
      <w:r w:rsidR="00D4641E" w:rsidRPr="00E723EA">
        <w:rPr>
          <w:rFonts w:asciiTheme="majorHAnsi" w:hAnsiTheme="majorHAnsi" w:cs="Arial"/>
          <w:sz w:val="20"/>
          <w:szCs w:val="20"/>
        </w:rPr>
        <w:t>respiratory failure and</w:t>
      </w:r>
      <w:r w:rsidRPr="00E723EA">
        <w:rPr>
          <w:rFonts w:asciiTheme="majorHAnsi" w:hAnsiTheme="majorHAnsi" w:cs="Arial"/>
          <w:sz w:val="20"/>
          <w:szCs w:val="20"/>
        </w:rPr>
        <w:t xml:space="preserve"> care strategies are discussed. Pulmonary hypoplasia is defined. Historically, fetuses and infants with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 xml:space="preserve"> are reported to have markedly reduced chest capacities.  Recently, fetal magnetic resonance imaging (MRI) has expanded the understanding of decreased congenital lung volume in infants with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omphaloceles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>.   Clinical-radiologic correlation studies support the use of prenatal MRI to predict the degree of respiratory insufficiency observed in the postnatal period.</w:t>
      </w:r>
    </w:p>
    <w:p w14:paraId="3197545B" w14:textId="77777777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The contribution of major anomalies to respiratory difficulties is discussed. </w:t>
      </w:r>
    </w:p>
    <w:p w14:paraId="158BE4CD" w14:textId="6D2B0352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Infants with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 xml:space="preserve"> may have increased pulmonary vascular reactivity and pulmonary hypertension that increases the post-natal mortality risk.  In this presentation, pulmonary hypoplasia and pulmonary hypertension are defined as distinct entities.  The two diagnoses must be distinguished from each other in the clinical setting.  </w:t>
      </w:r>
    </w:p>
    <w:p w14:paraId="32D559BA" w14:textId="2B2E1B33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>The implications of congenital heart defects are explained. The role and goals of assisted ventilation</w:t>
      </w:r>
      <w:r w:rsidR="00EA7F67">
        <w:rPr>
          <w:rFonts w:asciiTheme="majorHAnsi" w:hAnsiTheme="majorHAnsi" w:cs="Arial"/>
          <w:sz w:val="20"/>
          <w:szCs w:val="20"/>
        </w:rPr>
        <w:t xml:space="preserve"> for respiratory </w:t>
      </w:r>
      <w:proofErr w:type="gramStart"/>
      <w:r w:rsidR="00EA7F67">
        <w:rPr>
          <w:rFonts w:asciiTheme="majorHAnsi" w:hAnsiTheme="majorHAnsi" w:cs="Arial"/>
          <w:sz w:val="20"/>
          <w:szCs w:val="20"/>
        </w:rPr>
        <w:t>failure</w:t>
      </w:r>
      <w:r w:rsidR="002B68A1" w:rsidRPr="00E723EA">
        <w:rPr>
          <w:rFonts w:asciiTheme="majorHAnsi" w:hAnsiTheme="majorHAnsi" w:cs="Arial"/>
          <w:sz w:val="20"/>
          <w:szCs w:val="20"/>
        </w:rPr>
        <w:t xml:space="preserve">  are</w:t>
      </w:r>
      <w:proofErr w:type="gramEnd"/>
      <w:r w:rsidR="002B68A1" w:rsidRPr="00E723EA">
        <w:rPr>
          <w:rFonts w:asciiTheme="majorHAnsi" w:hAnsiTheme="majorHAnsi" w:cs="Arial"/>
          <w:sz w:val="20"/>
          <w:szCs w:val="20"/>
        </w:rPr>
        <w:t xml:space="preserve"> </w:t>
      </w:r>
      <w:r w:rsidRPr="00E723EA">
        <w:rPr>
          <w:rFonts w:asciiTheme="majorHAnsi" w:hAnsiTheme="majorHAnsi" w:cs="Arial"/>
          <w:sz w:val="20"/>
          <w:szCs w:val="20"/>
        </w:rPr>
        <w:t xml:space="preserve"> expanded</w:t>
      </w:r>
    </w:p>
    <w:p w14:paraId="3DDFF276" w14:textId="12040517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 </w:t>
      </w:r>
      <w:r w:rsidR="002B68A1" w:rsidRPr="00E723EA">
        <w:rPr>
          <w:rFonts w:asciiTheme="majorHAnsi" w:hAnsiTheme="majorHAnsi" w:cs="Arial"/>
          <w:sz w:val="20"/>
          <w:szCs w:val="20"/>
        </w:rPr>
        <w:t xml:space="preserve">Since 2011, </w:t>
      </w:r>
      <w:r w:rsidRPr="00E723EA">
        <w:rPr>
          <w:rFonts w:asciiTheme="majorHAnsi" w:hAnsiTheme="majorHAnsi" w:cs="Arial"/>
          <w:sz w:val="20"/>
          <w:szCs w:val="20"/>
        </w:rPr>
        <w:t xml:space="preserve">infants with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</w:t>
      </w:r>
      <w:r w:rsidR="002B68A1" w:rsidRPr="00E723EA">
        <w:rPr>
          <w:rFonts w:asciiTheme="majorHAnsi" w:hAnsiTheme="majorHAnsi" w:cs="Arial"/>
          <w:sz w:val="20"/>
          <w:szCs w:val="20"/>
        </w:rPr>
        <w:t>le</w:t>
      </w:r>
      <w:proofErr w:type="spellEnd"/>
      <w:r w:rsidR="002B68A1" w:rsidRPr="00E723EA">
        <w:rPr>
          <w:rFonts w:asciiTheme="majorHAnsi" w:hAnsiTheme="majorHAnsi" w:cs="Arial"/>
          <w:sz w:val="20"/>
          <w:szCs w:val="20"/>
        </w:rPr>
        <w:t xml:space="preserve"> and respiratory failure</w:t>
      </w:r>
      <w:r w:rsidRPr="00E723EA">
        <w:rPr>
          <w:rFonts w:asciiTheme="majorHAnsi" w:hAnsiTheme="majorHAnsi" w:cs="Arial"/>
          <w:sz w:val="20"/>
          <w:szCs w:val="20"/>
        </w:rPr>
        <w:t xml:space="preserve"> have required the extra-corp</w:t>
      </w:r>
      <w:r w:rsidR="002B68A1" w:rsidRPr="00E723EA">
        <w:rPr>
          <w:rFonts w:asciiTheme="majorHAnsi" w:hAnsiTheme="majorHAnsi" w:cs="Arial"/>
          <w:sz w:val="20"/>
          <w:szCs w:val="20"/>
        </w:rPr>
        <w:t>oreal membrane oxygenator.</w:t>
      </w:r>
      <w:r w:rsidRPr="00E723EA">
        <w:rPr>
          <w:rFonts w:asciiTheme="majorHAnsi" w:hAnsiTheme="majorHAnsi" w:cs="Arial"/>
          <w:sz w:val="20"/>
          <w:szCs w:val="20"/>
        </w:rPr>
        <w:t xml:space="preserve">   The first review of the Extra-corporeal Life Support (ELSO, Ann Arbor, MI USA) database for the causes of respiratory failure and outcomes in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</w:t>
      </w:r>
      <w:r w:rsidR="002B68A1" w:rsidRPr="00E723EA">
        <w:rPr>
          <w:rFonts w:asciiTheme="majorHAnsi" w:hAnsiTheme="majorHAnsi" w:cs="Arial"/>
          <w:sz w:val="20"/>
          <w:szCs w:val="20"/>
        </w:rPr>
        <w:t>phalocel</w:t>
      </w:r>
      <w:r w:rsidR="00EA7F67">
        <w:rPr>
          <w:rFonts w:asciiTheme="majorHAnsi" w:hAnsiTheme="majorHAnsi" w:cs="Arial"/>
          <w:sz w:val="20"/>
          <w:szCs w:val="20"/>
        </w:rPr>
        <w:t>e</w:t>
      </w:r>
      <w:proofErr w:type="spellEnd"/>
      <w:r w:rsidR="00EA7F67">
        <w:rPr>
          <w:rFonts w:asciiTheme="majorHAnsi" w:hAnsiTheme="majorHAnsi" w:cs="Arial"/>
          <w:sz w:val="20"/>
          <w:szCs w:val="20"/>
        </w:rPr>
        <w:t xml:space="preserve"> infants place </w:t>
      </w:r>
      <w:bookmarkStart w:id="0" w:name="_GoBack"/>
      <w:bookmarkEnd w:id="0"/>
      <w:r w:rsidRPr="00E723EA">
        <w:rPr>
          <w:rFonts w:asciiTheme="majorHAnsi" w:hAnsiTheme="majorHAnsi" w:cs="Arial"/>
          <w:sz w:val="20"/>
          <w:szCs w:val="20"/>
        </w:rPr>
        <w:t xml:space="preserve">will be presented. </w:t>
      </w:r>
    </w:p>
    <w:p w14:paraId="5365740E" w14:textId="77777777" w:rsidR="009A4CCB" w:rsidRPr="00E723EA" w:rsidRDefault="009A4CCB" w:rsidP="009A4CCB">
      <w:pPr>
        <w:autoSpaceDE w:val="0"/>
        <w:autoSpaceDN w:val="0"/>
        <w:adjustRightInd w:val="0"/>
        <w:spacing w:after="0" w:line="240" w:lineRule="auto"/>
        <w:ind w:firstLine="360"/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The timing of surgical repair, post-operative complications such as compartment syndrome, delayed surgical closure techniques and the implications of a ruptured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omphalocele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 xml:space="preserve"> are explained. </w:t>
      </w:r>
    </w:p>
    <w:p w14:paraId="76221918" w14:textId="7D66B3D7" w:rsidR="00D83969" w:rsidRPr="00E723EA" w:rsidRDefault="009A4CCB" w:rsidP="009A4CCB">
      <w:pPr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Pulmonary function abnormalities, chronic lung disease, the role of tracheostomy, the influence of </w:t>
      </w:r>
      <w:proofErr w:type="spellStart"/>
      <w:r w:rsidRPr="00E723EA">
        <w:rPr>
          <w:rFonts w:asciiTheme="majorHAnsi" w:hAnsiTheme="majorHAnsi" w:cs="Arial"/>
          <w:sz w:val="20"/>
          <w:szCs w:val="20"/>
        </w:rPr>
        <w:t>gastroesophageal</w:t>
      </w:r>
      <w:proofErr w:type="spellEnd"/>
      <w:r w:rsidRPr="00E723EA">
        <w:rPr>
          <w:rFonts w:asciiTheme="majorHAnsi" w:hAnsiTheme="majorHAnsi" w:cs="Arial"/>
          <w:sz w:val="20"/>
          <w:szCs w:val="20"/>
        </w:rPr>
        <w:t xml:space="preserve"> reflux disease (GERD), prematurity, and</w:t>
      </w:r>
      <w:r w:rsidR="002B68A1" w:rsidRPr="00E723EA">
        <w:rPr>
          <w:rFonts w:asciiTheme="majorHAnsi" w:hAnsiTheme="majorHAnsi" w:cs="Arial"/>
          <w:sz w:val="20"/>
          <w:szCs w:val="20"/>
        </w:rPr>
        <w:t xml:space="preserve"> </w:t>
      </w:r>
      <w:r w:rsidRPr="00E723EA">
        <w:rPr>
          <w:rFonts w:asciiTheme="majorHAnsi" w:hAnsiTheme="majorHAnsi" w:cs="Arial"/>
          <w:sz w:val="20"/>
          <w:szCs w:val="20"/>
        </w:rPr>
        <w:t>improve</w:t>
      </w:r>
      <w:r w:rsidR="002B68A1" w:rsidRPr="00E723EA">
        <w:rPr>
          <w:rFonts w:asciiTheme="majorHAnsi" w:hAnsiTheme="majorHAnsi" w:cs="Arial"/>
          <w:sz w:val="20"/>
          <w:szCs w:val="20"/>
        </w:rPr>
        <w:t>d outcome strategies</w:t>
      </w:r>
      <w:r w:rsidRPr="00E723EA">
        <w:rPr>
          <w:rFonts w:asciiTheme="majorHAnsi" w:hAnsiTheme="majorHAnsi" w:cs="Arial"/>
          <w:sz w:val="20"/>
          <w:szCs w:val="20"/>
        </w:rPr>
        <w:t>, are discussed.</w:t>
      </w:r>
    </w:p>
    <w:p w14:paraId="71A7809E" w14:textId="77777777" w:rsidR="00E723EA" w:rsidRPr="00E723EA" w:rsidRDefault="00E723EA" w:rsidP="009A4CCB">
      <w:pPr>
        <w:rPr>
          <w:rFonts w:asciiTheme="majorHAnsi" w:hAnsiTheme="majorHAnsi" w:cs="Arial"/>
          <w:sz w:val="20"/>
          <w:szCs w:val="20"/>
        </w:rPr>
      </w:pPr>
    </w:p>
    <w:p w14:paraId="5CB1B307" w14:textId="460D377B" w:rsidR="00E723EA" w:rsidRPr="00E723EA" w:rsidRDefault="00E723EA" w:rsidP="009A4CCB">
      <w:pPr>
        <w:rPr>
          <w:rFonts w:asciiTheme="majorHAnsi" w:hAnsiTheme="majorHAnsi" w:cs="Arial"/>
          <w:sz w:val="20"/>
          <w:szCs w:val="20"/>
        </w:rPr>
      </w:pPr>
      <w:r w:rsidRPr="00E723EA">
        <w:rPr>
          <w:rFonts w:asciiTheme="majorHAnsi" w:hAnsiTheme="majorHAnsi" w:cs="Arial"/>
          <w:sz w:val="20"/>
          <w:szCs w:val="20"/>
        </w:rPr>
        <w:t xml:space="preserve">References:  </w:t>
      </w:r>
    </w:p>
    <w:p w14:paraId="41FE2163" w14:textId="3EB012AB" w:rsidR="00E723EA" w:rsidRPr="00E723EA" w:rsidRDefault="00E723EA" w:rsidP="00E723EA">
      <w:pPr>
        <w:spacing w:line="240" w:lineRule="auto"/>
        <w:rPr>
          <w:rFonts w:asciiTheme="majorHAnsi" w:hAnsiTheme="majorHAnsi"/>
          <w:sz w:val="20"/>
          <w:szCs w:val="20"/>
        </w:rPr>
      </w:pPr>
      <w:r w:rsidRPr="00E723EA">
        <w:rPr>
          <w:rFonts w:asciiTheme="majorHAnsi" w:hAnsiTheme="majorHAnsi"/>
          <w:b/>
          <w:sz w:val="20"/>
          <w:szCs w:val="20"/>
        </w:rPr>
        <w:t>Baerg JE.</w:t>
      </w:r>
      <w:r w:rsidRPr="00E723EA">
        <w:rPr>
          <w:rFonts w:asciiTheme="majorHAnsi" w:hAnsiTheme="majorHAnsi"/>
          <w:sz w:val="20"/>
          <w:szCs w:val="20"/>
        </w:rPr>
        <w:t xml:space="preserve">  </w:t>
      </w:r>
      <w:proofErr w:type="spellStart"/>
      <w:r w:rsidRPr="00E723EA">
        <w:rPr>
          <w:rFonts w:asciiTheme="majorHAnsi" w:hAnsiTheme="majorHAnsi"/>
          <w:sz w:val="20"/>
          <w:szCs w:val="20"/>
        </w:rPr>
        <w:t>Thriumoorthi</w:t>
      </w:r>
      <w:proofErr w:type="spellEnd"/>
      <w:r w:rsidRPr="00E723EA">
        <w:rPr>
          <w:rFonts w:asciiTheme="majorHAnsi" w:hAnsiTheme="majorHAnsi"/>
          <w:sz w:val="20"/>
          <w:szCs w:val="20"/>
        </w:rPr>
        <w:t xml:space="preserve"> A, Carlton W, Given S, Hopper A, </w:t>
      </w:r>
      <w:r w:rsidRPr="00E723EA">
        <w:rPr>
          <w:rFonts w:asciiTheme="majorHAnsi" w:hAnsiTheme="majorHAnsi"/>
          <w:sz w:val="20"/>
          <w:szCs w:val="20"/>
        </w:rPr>
        <w:t xml:space="preserve">Goff D, </w:t>
      </w:r>
      <w:proofErr w:type="spellStart"/>
      <w:r w:rsidRPr="00E723EA">
        <w:rPr>
          <w:rFonts w:asciiTheme="majorHAnsi" w:hAnsiTheme="majorHAnsi"/>
          <w:sz w:val="20"/>
          <w:szCs w:val="20"/>
        </w:rPr>
        <w:t>Ramlogan</w:t>
      </w:r>
      <w:proofErr w:type="spellEnd"/>
      <w:r w:rsidRPr="00E723EA">
        <w:rPr>
          <w:rFonts w:asciiTheme="majorHAnsi" w:hAnsiTheme="majorHAnsi"/>
          <w:sz w:val="20"/>
          <w:szCs w:val="20"/>
        </w:rPr>
        <w:t xml:space="preserve"> S, St Peter SD.</w:t>
      </w:r>
      <w:r w:rsidRPr="00E723EA">
        <w:rPr>
          <w:rFonts w:asciiTheme="majorHAnsi" w:hAnsiTheme="majorHAnsi"/>
          <w:sz w:val="20"/>
          <w:szCs w:val="20"/>
        </w:rPr>
        <w:t xml:space="preserve"> </w:t>
      </w:r>
      <w:r w:rsidRPr="00E723EA">
        <w:rPr>
          <w:rFonts w:asciiTheme="majorHAnsi" w:hAnsiTheme="majorHAnsi"/>
          <w:b/>
          <w:sz w:val="20"/>
          <w:szCs w:val="20"/>
        </w:rPr>
        <w:t xml:space="preserve">Late Onset of Pulmonary Hypertension and Sepsis in </w:t>
      </w:r>
      <w:proofErr w:type="spellStart"/>
      <w:r w:rsidRPr="00E723EA">
        <w:rPr>
          <w:rFonts w:asciiTheme="majorHAnsi" w:hAnsiTheme="majorHAnsi"/>
          <w:b/>
          <w:sz w:val="20"/>
          <w:szCs w:val="20"/>
        </w:rPr>
        <w:t>Omphalocele</w:t>
      </w:r>
      <w:proofErr w:type="spellEnd"/>
      <w:r w:rsidRPr="00E723EA">
        <w:rPr>
          <w:rFonts w:asciiTheme="majorHAnsi" w:hAnsiTheme="majorHAnsi"/>
          <w:b/>
          <w:sz w:val="20"/>
          <w:szCs w:val="20"/>
        </w:rPr>
        <w:t xml:space="preserve"> Infants</w:t>
      </w:r>
      <w:r w:rsidRPr="00E723EA">
        <w:rPr>
          <w:rFonts w:asciiTheme="majorHAnsi" w:hAnsiTheme="majorHAnsi"/>
          <w:b/>
          <w:sz w:val="20"/>
          <w:szCs w:val="20"/>
        </w:rPr>
        <w:br/>
      </w:r>
      <w:r w:rsidRPr="00E723EA">
        <w:rPr>
          <w:rFonts w:asciiTheme="majorHAnsi" w:hAnsiTheme="majorHAnsi"/>
          <w:sz w:val="20"/>
          <w:szCs w:val="20"/>
        </w:rPr>
        <w:t xml:space="preserve">Journal of Pediatric Surgery Case Reports (2016), </w:t>
      </w:r>
      <w:proofErr w:type="spellStart"/>
      <w:r w:rsidRPr="00E723EA">
        <w:rPr>
          <w:rFonts w:asciiTheme="majorHAnsi" w:hAnsiTheme="majorHAnsi"/>
          <w:sz w:val="20"/>
          <w:szCs w:val="20"/>
        </w:rPr>
        <w:t>doi</w:t>
      </w:r>
      <w:proofErr w:type="spellEnd"/>
      <w:r w:rsidRPr="00E723EA">
        <w:rPr>
          <w:rFonts w:asciiTheme="majorHAnsi" w:hAnsiTheme="majorHAnsi"/>
          <w:sz w:val="20"/>
          <w:szCs w:val="20"/>
        </w:rPr>
        <w:t>: 10.1016/j.epsc.2016.09.011.</w:t>
      </w:r>
    </w:p>
    <w:p w14:paraId="58BA7626" w14:textId="7F70BFE2" w:rsidR="00E723EA" w:rsidRPr="00E723EA" w:rsidRDefault="00E723EA" w:rsidP="00E723EA">
      <w:pPr>
        <w:autoSpaceDE w:val="0"/>
        <w:autoSpaceDN w:val="0"/>
        <w:adjustRightInd w:val="0"/>
        <w:spacing w:line="240" w:lineRule="auto"/>
        <w:rPr>
          <w:rFonts w:asciiTheme="majorHAnsi" w:eastAsia="Calibri" w:hAnsiTheme="majorHAnsi"/>
          <w:sz w:val="20"/>
          <w:szCs w:val="20"/>
        </w:rPr>
      </w:pPr>
      <w:proofErr w:type="gramStart"/>
      <w:r w:rsidRPr="00E723EA">
        <w:rPr>
          <w:rFonts w:asciiTheme="majorHAnsi" w:eastAsia="Calibri" w:hAnsiTheme="majorHAnsi"/>
          <w:b/>
          <w:sz w:val="20"/>
          <w:szCs w:val="20"/>
        </w:rPr>
        <w:t>Baerg JE</w:t>
      </w:r>
      <w:r w:rsidRPr="00E723EA">
        <w:rPr>
          <w:rFonts w:asciiTheme="majorHAnsi" w:eastAsia="Calibri" w:hAnsiTheme="majorHAnsi"/>
          <w:i/>
          <w:iCs/>
          <w:sz w:val="20"/>
          <w:szCs w:val="20"/>
        </w:rPr>
        <w:t>,</w:t>
      </w:r>
      <w:r w:rsidRPr="00E723EA">
        <w:rPr>
          <w:rFonts w:asciiTheme="majorHAnsi" w:eastAsia="MTSY" w:hAnsiTheme="majorHAnsi"/>
          <w:sz w:val="20"/>
          <w:szCs w:val="20"/>
        </w:rPr>
        <w:t xml:space="preserve"> </w:t>
      </w:r>
      <w:r w:rsidRPr="00E723EA">
        <w:rPr>
          <w:rFonts w:asciiTheme="majorHAnsi" w:eastAsia="Calibri" w:hAnsiTheme="majorHAnsi"/>
          <w:sz w:val="20"/>
          <w:szCs w:val="20"/>
        </w:rPr>
        <w:t xml:space="preserve">Thorpe DL, Sharp NE, </w:t>
      </w:r>
      <w:proofErr w:type="spellStart"/>
      <w:r w:rsidRPr="00E723EA">
        <w:rPr>
          <w:rFonts w:asciiTheme="majorHAnsi" w:eastAsia="Calibri" w:hAnsiTheme="majorHAnsi"/>
          <w:sz w:val="20"/>
          <w:szCs w:val="20"/>
        </w:rPr>
        <w:t>Ramlogan</w:t>
      </w:r>
      <w:proofErr w:type="spellEnd"/>
      <w:r w:rsidRPr="00E723EA">
        <w:rPr>
          <w:rFonts w:asciiTheme="majorHAnsi" w:eastAsia="Calibri" w:hAnsiTheme="majorHAnsi"/>
          <w:sz w:val="20"/>
          <w:szCs w:val="20"/>
        </w:rPr>
        <w:t xml:space="preserve"> SR, </w:t>
      </w:r>
      <w:proofErr w:type="spellStart"/>
      <w:r w:rsidRPr="00E723EA">
        <w:rPr>
          <w:rFonts w:asciiTheme="majorHAnsi" w:eastAsia="Calibri" w:hAnsiTheme="majorHAnsi"/>
          <w:sz w:val="20"/>
          <w:szCs w:val="20"/>
        </w:rPr>
        <w:t>Hutson</w:t>
      </w:r>
      <w:proofErr w:type="spellEnd"/>
      <w:r w:rsidRPr="00E723EA">
        <w:rPr>
          <w:rFonts w:asciiTheme="majorHAnsi" w:eastAsia="Calibri" w:hAnsiTheme="majorHAnsi"/>
          <w:sz w:val="20"/>
          <w:szCs w:val="20"/>
        </w:rPr>
        <w:t xml:space="preserve"> SH, Goff DA,</w:t>
      </w:r>
      <w:r w:rsidRPr="00E723EA">
        <w:rPr>
          <w:rFonts w:asciiTheme="majorHAnsi" w:eastAsia="Calibri" w:hAnsiTheme="majorHAnsi"/>
          <w:sz w:val="20"/>
          <w:szCs w:val="20"/>
        </w:rPr>
        <w:t xml:space="preserve"> </w:t>
      </w:r>
      <w:r w:rsidRPr="00E723EA">
        <w:rPr>
          <w:rFonts w:asciiTheme="majorHAnsi" w:eastAsia="Calibri" w:hAnsiTheme="majorHAnsi"/>
          <w:sz w:val="20"/>
          <w:szCs w:val="20"/>
        </w:rPr>
        <w:t>Hopper AO and St Peter SD</w:t>
      </w:r>
      <w:r w:rsidRPr="00E723EA">
        <w:rPr>
          <w:rFonts w:asciiTheme="majorHAnsi" w:eastAsia="Calibri" w:hAnsiTheme="majorHAnsi"/>
          <w:sz w:val="20"/>
          <w:szCs w:val="20"/>
        </w:rPr>
        <w:t>.</w:t>
      </w:r>
      <w:proofErr w:type="gramEnd"/>
      <w:r w:rsidRPr="00E723EA">
        <w:rPr>
          <w:rFonts w:asciiTheme="majorHAnsi" w:eastAsia="Calibri" w:hAnsiTheme="majorHAnsi"/>
          <w:sz w:val="20"/>
          <w:szCs w:val="20"/>
        </w:rPr>
        <w:t xml:space="preserve">   </w:t>
      </w:r>
      <w:proofErr w:type="gramStart"/>
      <w:r w:rsidRPr="00E723EA">
        <w:rPr>
          <w:rFonts w:asciiTheme="majorHAnsi" w:eastAsia="Calibri" w:hAnsiTheme="majorHAnsi"/>
          <w:b/>
          <w:sz w:val="20"/>
          <w:szCs w:val="20"/>
        </w:rPr>
        <w:t>Pulmonary Hypertension Predicts Mortality</w:t>
      </w:r>
      <w:r w:rsidRPr="00E723EA">
        <w:rPr>
          <w:rFonts w:asciiTheme="majorHAnsi" w:eastAsia="Calibri" w:hAnsiTheme="majorHAnsi"/>
          <w:sz w:val="20"/>
          <w:szCs w:val="20"/>
        </w:rPr>
        <w:t xml:space="preserve"> </w:t>
      </w:r>
      <w:r w:rsidRPr="00E723EA">
        <w:rPr>
          <w:rFonts w:asciiTheme="majorHAnsi" w:eastAsia="Calibri" w:hAnsiTheme="majorHAnsi"/>
          <w:b/>
          <w:sz w:val="20"/>
          <w:szCs w:val="20"/>
        </w:rPr>
        <w:t xml:space="preserve">in Infants with </w:t>
      </w:r>
      <w:proofErr w:type="spellStart"/>
      <w:r w:rsidRPr="00E723EA">
        <w:rPr>
          <w:rFonts w:asciiTheme="majorHAnsi" w:eastAsia="Calibri" w:hAnsiTheme="majorHAnsi"/>
          <w:b/>
          <w:sz w:val="20"/>
          <w:szCs w:val="20"/>
        </w:rPr>
        <w:t>Omphalocele</w:t>
      </w:r>
      <w:proofErr w:type="spellEnd"/>
      <w:r w:rsidRPr="00E723EA">
        <w:rPr>
          <w:rFonts w:asciiTheme="majorHAnsi" w:eastAsia="Calibri" w:hAnsiTheme="majorHAnsi"/>
          <w:b/>
          <w:sz w:val="20"/>
          <w:szCs w:val="20"/>
        </w:rPr>
        <w:t xml:space="preserve"> </w:t>
      </w:r>
      <w:r w:rsidRPr="00E723EA">
        <w:rPr>
          <w:rFonts w:asciiTheme="majorHAnsi" w:eastAsia="Calibri" w:hAnsiTheme="majorHAnsi"/>
          <w:sz w:val="20"/>
          <w:szCs w:val="20"/>
        </w:rPr>
        <w:t>J of Neonatal and Perinatal Medicine.</w:t>
      </w:r>
      <w:proofErr w:type="gramEnd"/>
      <w:r w:rsidRPr="00E723EA">
        <w:rPr>
          <w:rFonts w:asciiTheme="majorHAnsi" w:eastAsia="Calibri" w:hAnsiTheme="majorHAnsi"/>
          <w:sz w:val="20"/>
          <w:szCs w:val="20"/>
        </w:rPr>
        <w:t xml:space="preserve"> Issue 8, </w:t>
      </w:r>
      <w:proofErr w:type="spellStart"/>
      <w:r w:rsidRPr="00E723EA">
        <w:rPr>
          <w:rFonts w:asciiTheme="majorHAnsi" w:eastAsia="Calibri" w:hAnsiTheme="majorHAnsi"/>
          <w:sz w:val="20"/>
          <w:szCs w:val="20"/>
        </w:rPr>
        <w:t>vol</w:t>
      </w:r>
      <w:proofErr w:type="spellEnd"/>
      <w:r w:rsidRPr="00E723EA">
        <w:rPr>
          <w:rFonts w:asciiTheme="majorHAnsi" w:eastAsia="Calibri" w:hAnsiTheme="majorHAnsi"/>
          <w:sz w:val="20"/>
          <w:szCs w:val="20"/>
        </w:rPr>
        <w:t xml:space="preserve"> 4. P 1-6 (2015</w:t>
      </w:r>
      <w:r w:rsidRPr="00E723EA">
        <w:rPr>
          <w:rFonts w:asciiTheme="majorHAnsi" w:eastAsia="Calibri" w:hAnsiTheme="majorHAnsi"/>
          <w:sz w:val="20"/>
          <w:szCs w:val="20"/>
        </w:rPr>
        <w:t>)</w:t>
      </w:r>
    </w:p>
    <w:p w14:paraId="04164CBE" w14:textId="77777777" w:rsidR="00E723EA" w:rsidRPr="00E723EA" w:rsidRDefault="00E723EA" w:rsidP="00E723EA">
      <w:pPr>
        <w:autoSpaceDE w:val="0"/>
        <w:autoSpaceDN w:val="0"/>
        <w:adjustRightInd w:val="0"/>
        <w:spacing w:line="240" w:lineRule="auto"/>
        <w:rPr>
          <w:rFonts w:asciiTheme="majorHAnsi" w:eastAsia="Calibri" w:hAnsiTheme="majorHAnsi"/>
          <w:sz w:val="20"/>
          <w:szCs w:val="20"/>
        </w:rPr>
      </w:pPr>
    </w:p>
    <w:p w14:paraId="75F85FA2" w14:textId="45202CBC" w:rsidR="00E723EA" w:rsidRPr="00E723EA" w:rsidRDefault="00E723EA" w:rsidP="00E723EA">
      <w:pPr>
        <w:autoSpaceDE w:val="0"/>
        <w:autoSpaceDN w:val="0"/>
        <w:adjustRightInd w:val="0"/>
        <w:spacing w:line="240" w:lineRule="auto"/>
        <w:rPr>
          <w:rFonts w:asciiTheme="majorHAnsi" w:eastAsia="Calibri" w:hAnsiTheme="majorHAnsi"/>
          <w:sz w:val="20"/>
          <w:szCs w:val="20"/>
        </w:rPr>
      </w:pPr>
      <w:r w:rsidRPr="00E723EA">
        <w:rPr>
          <w:rFonts w:asciiTheme="majorHAnsi" w:eastAsia="Calibri" w:hAnsiTheme="majorHAnsi"/>
          <w:sz w:val="20"/>
          <w:szCs w:val="20"/>
        </w:rPr>
        <w:t xml:space="preserve">Biography:  Dr. Baerg </w:t>
      </w:r>
      <w:proofErr w:type="gramStart"/>
      <w:r w:rsidRPr="00E723EA">
        <w:rPr>
          <w:rFonts w:asciiTheme="majorHAnsi" w:eastAsia="Calibri" w:hAnsiTheme="majorHAnsi"/>
          <w:sz w:val="20"/>
          <w:szCs w:val="20"/>
        </w:rPr>
        <w:t>is  pediatric</w:t>
      </w:r>
      <w:proofErr w:type="gramEnd"/>
      <w:r w:rsidRPr="00E723EA">
        <w:rPr>
          <w:rFonts w:asciiTheme="majorHAnsi" w:eastAsia="Calibri" w:hAnsiTheme="majorHAnsi"/>
          <w:sz w:val="20"/>
          <w:szCs w:val="20"/>
        </w:rPr>
        <w:t xml:space="preserve"> surgeon at Loma Linda University Children’s Hospital, Loma Linda CA.</w:t>
      </w:r>
    </w:p>
    <w:sectPr w:rsidR="00E723EA" w:rsidRPr="00E723EA" w:rsidSect="0041744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TSY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CCB"/>
    <w:rsid w:val="002B68A1"/>
    <w:rsid w:val="00417441"/>
    <w:rsid w:val="007C0792"/>
    <w:rsid w:val="009A4CCB"/>
    <w:rsid w:val="00D4641E"/>
    <w:rsid w:val="00D83969"/>
    <w:rsid w:val="00E723EA"/>
    <w:rsid w:val="00EA7F6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B528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CB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CB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2489</Characters>
  <Application>Microsoft Macintosh Word</Application>
  <DocSecurity>0</DocSecurity>
  <Lines>20</Lines>
  <Paragraphs>5</Paragraphs>
  <ScaleCrop>false</ScaleCrop>
  <Company>Loma Linda University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Baerg</dc:creator>
  <cp:keywords/>
  <dc:description/>
  <cp:lastModifiedBy>Joanne Baerg</cp:lastModifiedBy>
  <cp:revision>2</cp:revision>
  <dcterms:created xsi:type="dcterms:W3CDTF">2016-10-20T17:49:00Z</dcterms:created>
  <dcterms:modified xsi:type="dcterms:W3CDTF">2016-10-20T17:49:00Z</dcterms:modified>
</cp:coreProperties>
</file>