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F80" w:rsidRDefault="00EC5F80" w:rsidP="00EC5F80">
      <w:pPr>
        <w:jc w:val="center"/>
        <w:rPr>
          <w:rFonts w:asciiTheme="majorBidi" w:hAnsiTheme="majorBidi" w:cstheme="majorBidi"/>
          <w:b/>
          <w:bCs/>
          <w:sz w:val="24"/>
          <w:szCs w:val="24"/>
        </w:rPr>
      </w:pPr>
      <w:r w:rsidRPr="0007372E">
        <w:rPr>
          <w:rFonts w:asciiTheme="majorBidi" w:hAnsiTheme="majorBidi" w:cstheme="majorBidi"/>
          <w:b/>
          <w:bCs/>
          <w:sz w:val="24"/>
          <w:szCs w:val="24"/>
        </w:rPr>
        <w:t>Feeding Behavior and Eating Habits of Children with Autism Spectrum Disorder Compared to Typically Developing Children: Case-Control Study</w:t>
      </w:r>
    </w:p>
    <w:p w:rsidR="00AE3E37" w:rsidRPr="009A3311" w:rsidRDefault="00BD417A" w:rsidP="00BD417A">
      <w:pPr>
        <w:spacing w:line="480" w:lineRule="auto"/>
        <w:jc w:val="center"/>
        <w:rPr>
          <w:rFonts w:ascii="Arial"/>
          <w:sz w:val="12"/>
          <w:szCs w:val="12"/>
        </w:rPr>
        <w:sectPr w:rsidR="00AE3E37" w:rsidRPr="009A3311" w:rsidSect="00746D0E">
          <w:headerReference w:type="default" r:id="rId8"/>
          <w:footerReference w:type="default" r:id="rId9"/>
          <w:type w:val="continuous"/>
          <w:pgSz w:w="11910" w:h="16840"/>
          <w:pgMar w:top="1247" w:right="600" w:bottom="840" w:left="620" w:header="541" w:footer="642" w:gutter="0"/>
          <w:cols w:space="720"/>
        </w:sectPr>
      </w:pPr>
      <w:proofErr w:type="spellStart"/>
      <w:r w:rsidRPr="00BD417A">
        <w:rPr>
          <w:rFonts w:asciiTheme="majorBidi" w:hAnsiTheme="majorBidi" w:cstheme="majorBidi"/>
          <w:b/>
          <w:bCs/>
          <w:sz w:val="18"/>
          <w:szCs w:val="18"/>
        </w:rPr>
        <w:t>Batoul</w:t>
      </w:r>
      <w:proofErr w:type="spellEnd"/>
      <w:r w:rsidRPr="00BD417A">
        <w:rPr>
          <w:rFonts w:asciiTheme="majorBidi" w:hAnsiTheme="majorBidi" w:cstheme="majorBidi"/>
          <w:b/>
          <w:bCs/>
          <w:sz w:val="18"/>
          <w:szCs w:val="18"/>
        </w:rPr>
        <w:t xml:space="preserve"> </w:t>
      </w:r>
      <w:proofErr w:type="spellStart"/>
      <w:r w:rsidRPr="00BD417A">
        <w:rPr>
          <w:rFonts w:asciiTheme="majorBidi" w:hAnsiTheme="majorBidi" w:cstheme="majorBidi"/>
          <w:b/>
          <w:bCs/>
          <w:sz w:val="18"/>
          <w:szCs w:val="18"/>
        </w:rPr>
        <w:t>Hojeij</w:t>
      </w:r>
      <w:proofErr w:type="spellEnd"/>
      <w:r w:rsidRPr="00BD417A">
        <w:rPr>
          <w:rFonts w:asciiTheme="majorBidi" w:hAnsiTheme="majorBidi" w:cstheme="majorBidi"/>
          <w:b/>
          <w:bCs/>
          <w:sz w:val="18"/>
          <w:szCs w:val="18"/>
          <w:vertAlign w:val="subscript"/>
        </w:rPr>
        <w:t xml:space="preserve">; </w:t>
      </w:r>
      <w:r w:rsidRPr="00BD417A">
        <w:rPr>
          <w:rFonts w:asciiTheme="majorBidi" w:hAnsiTheme="majorBidi" w:cstheme="majorBidi"/>
          <w:b/>
          <w:bCs/>
          <w:sz w:val="18"/>
          <w:szCs w:val="18"/>
        </w:rPr>
        <w:t xml:space="preserve">Diana </w:t>
      </w:r>
      <w:proofErr w:type="spellStart"/>
      <w:r w:rsidRPr="00BD417A">
        <w:rPr>
          <w:rFonts w:asciiTheme="majorBidi" w:hAnsiTheme="majorBidi" w:cstheme="majorBidi"/>
          <w:b/>
          <w:bCs/>
          <w:sz w:val="18"/>
          <w:szCs w:val="18"/>
        </w:rPr>
        <w:t>Ezzedine</w:t>
      </w:r>
      <w:proofErr w:type="spellEnd"/>
      <w:r w:rsidRPr="00BD417A">
        <w:rPr>
          <w:rFonts w:asciiTheme="majorBidi" w:hAnsiTheme="majorBidi" w:cstheme="majorBidi"/>
          <w:b/>
          <w:bCs/>
          <w:sz w:val="18"/>
          <w:szCs w:val="18"/>
          <w:vertAlign w:val="subscript"/>
        </w:rPr>
        <w:t>;</w:t>
      </w:r>
      <w:r w:rsidRPr="00BD417A">
        <w:rPr>
          <w:rFonts w:asciiTheme="majorBidi" w:hAnsiTheme="majorBidi" w:cstheme="majorBidi"/>
          <w:b/>
          <w:bCs/>
          <w:i/>
          <w:iCs/>
          <w:sz w:val="18"/>
          <w:szCs w:val="18"/>
          <w:vertAlign w:val="subscript"/>
        </w:rPr>
        <w:t xml:space="preserve"> </w:t>
      </w:r>
      <w:proofErr w:type="spellStart"/>
      <w:r w:rsidRPr="00BD417A">
        <w:rPr>
          <w:rFonts w:asciiTheme="majorBidi" w:hAnsiTheme="majorBidi" w:cstheme="majorBidi"/>
          <w:b/>
          <w:bCs/>
          <w:sz w:val="18"/>
          <w:szCs w:val="18"/>
        </w:rPr>
        <w:t>Sarine</w:t>
      </w:r>
      <w:proofErr w:type="spellEnd"/>
      <w:r w:rsidRPr="00BD417A">
        <w:rPr>
          <w:rFonts w:asciiTheme="majorBidi" w:hAnsiTheme="majorBidi" w:cstheme="majorBidi"/>
          <w:b/>
          <w:bCs/>
          <w:sz w:val="18"/>
          <w:szCs w:val="18"/>
        </w:rPr>
        <w:t xml:space="preserve"> El </w:t>
      </w:r>
      <w:proofErr w:type="spellStart"/>
      <w:r w:rsidRPr="00BD417A">
        <w:rPr>
          <w:rFonts w:asciiTheme="majorBidi" w:hAnsiTheme="majorBidi" w:cstheme="majorBidi"/>
          <w:b/>
          <w:bCs/>
          <w:sz w:val="18"/>
          <w:szCs w:val="18"/>
        </w:rPr>
        <w:t>Daouk</w:t>
      </w:r>
      <w:proofErr w:type="spellEnd"/>
      <w:r w:rsidRPr="00BD417A">
        <w:rPr>
          <w:rFonts w:asciiTheme="majorBidi" w:hAnsiTheme="majorBidi" w:cstheme="majorBidi"/>
          <w:b/>
          <w:bCs/>
          <w:sz w:val="18"/>
          <w:szCs w:val="18"/>
        </w:rPr>
        <w:t xml:space="preserve"> and Maha Hoteit</w:t>
      </w:r>
    </w:p>
    <w:p w:rsidR="00AE3E37" w:rsidRDefault="00A9710C" w:rsidP="00EC5B48">
      <w:pPr>
        <w:pStyle w:val="Heading3"/>
        <w:spacing w:before="147"/>
        <w:ind w:left="0"/>
        <w:jc w:val="both"/>
        <w:rPr>
          <w:sz w:val="12"/>
          <w:szCs w:val="12"/>
        </w:rPr>
      </w:pPr>
      <w:r w:rsidRPr="009A3311">
        <w:rPr>
          <w:sz w:val="12"/>
          <w:szCs w:val="12"/>
        </w:rPr>
        <w:lastRenderedPageBreak/>
        <w:t>Abstract</w:t>
      </w:r>
      <w:r w:rsidR="00404E5B" w:rsidRPr="009A3311">
        <w:rPr>
          <w:sz w:val="12"/>
          <w:szCs w:val="12"/>
        </w:rPr>
        <w:t xml:space="preserve"> (300 word limit)</w:t>
      </w:r>
    </w:p>
    <w:p w:rsidR="009A3311" w:rsidRPr="009A3311" w:rsidRDefault="009A3311" w:rsidP="00EC5B48">
      <w:pPr>
        <w:pStyle w:val="Heading3"/>
        <w:spacing w:before="147"/>
        <w:ind w:left="0"/>
        <w:jc w:val="both"/>
        <w:rPr>
          <w:sz w:val="12"/>
          <w:szCs w:val="12"/>
        </w:rPr>
      </w:pPr>
    </w:p>
    <w:p w:rsidR="00BF5627" w:rsidRPr="009A3311" w:rsidRDefault="00BF5627" w:rsidP="00BF5627">
      <w:pPr>
        <w:spacing w:line="480" w:lineRule="auto"/>
        <w:jc w:val="both"/>
        <w:rPr>
          <w:rFonts w:asciiTheme="majorBidi" w:hAnsiTheme="majorBidi" w:cstheme="majorBidi"/>
          <w:sz w:val="12"/>
          <w:szCs w:val="12"/>
        </w:rPr>
      </w:pPr>
      <w:r w:rsidRPr="009A3311">
        <w:rPr>
          <w:rFonts w:asciiTheme="majorBidi" w:hAnsiTheme="majorBidi" w:cstheme="majorBidi"/>
          <w:i/>
          <w:iCs/>
          <w:sz w:val="12"/>
          <w:szCs w:val="12"/>
        </w:rPr>
        <w:t xml:space="preserve"> </w:t>
      </w:r>
      <w:r w:rsidRPr="009A3311">
        <w:rPr>
          <w:rFonts w:asciiTheme="majorBidi" w:hAnsiTheme="majorBidi" w:cstheme="majorBidi"/>
          <w:sz w:val="12"/>
          <w:szCs w:val="12"/>
          <w:shd w:val="clear" w:color="auto" w:fill="FFFFFF"/>
        </w:rPr>
        <w:t>Children with autism spectrum disorder (ASD) may have restrictive and ritualistic behaviors that affect their eating habits</w:t>
      </w:r>
      <w:r w:rsidRPr="009A3311">
        <w:rPr>
          <w:rFonts w:asciiTheme="majorBidi" w:hAnsiTheme="majorBidi" w:cstheme="majorBidi"/>
          <w:sz w:val="12"/>
          <w:szCs w:val="12"/>
        </w:rPr>
        <w:t>.</w:t>
      </w:r>
    </w:p>
    <w:p w:rsidR="00BF5627" w:rsidRPr="009A3311" w:rsidRDefault="00BF5627" w:rsidP="00BF5627">
      <w:pPr>
        <w:spacing w:line="480" w:lineRule="auto"/>
        <w:jc w:val="both"/>
        <w:rPr>
          <w:rFonts w:asciiTheme="majorBidi" w:hAnsiTheme="majorBidi" w:cstheme="majorBidi"/>
          <w:sz w:val="12"/>
          <w:szCs w:val="12"/>
        </w:rPr>
      </w:pPr>
      <w:r w:rsidRPr="009A3311">
        <w:rPr>
          <w:rFonts w:asciiTheme="majorBidi" w:hAnsiTheme="majorBidi" w:cstheme="majorBidi"/>
          <w:i/>
          <w:iCs/>
          <w:sz w:val="12"/>
          <w:szCs w:val="12"/>
        </w:rPr>
        <w:t>Aim:</w:t>
      </w:r>
      <w:r w:rsidRPr="009A3311">
        <w:rPr>
          <w:rFonts w:asciiTheme="majorBidi" w:hAnsiTheme="majorBidi" w:cstheme="majorBidi"/>
          <w:sz w:val="12"/>
          <w:szCs w:val="12"/>
        </w:rPr>
        <w:t xml:space="preserve"> To identify and understand the feeding behavior and eating habits issues in ASD children when compared to matched typically developing (TD) children. Furthermore, to assist in how to address feeding issues with parents/caregivers 'seeking for dealing with these habits and behaviors.</w:t>
      </w:r>
    </w:p>
    <w:p w:rsidR="00BF5627" w:rsidRPr="009A3311" w:rsidRDefault="00BF5627" w:rsidP="00BF5627">
      <w:pPr>
        <w:spacing w:line="480" w:lineRule="auto"/>
        <w:jc w:val="both"/>
        <w:rPr>
          <w:rFonts w:asciiTheme="majorBidi" w:hAnsiTheme="majorBidi" w:cstheme="majorBidi"/>
          <w:sz w:val="12"/>
          <w:szCs w:val="12"/>
        </w:rPr>
      </w:pPr>
      <w:r w:rsidRPr="009A3311">
        <w:rPr>
          <w:rFonts w:asciiTheme="majorBidi" w:hAnsiTheme="majorBidi" w:cstheme="majorBidi"/>
          <w:i/>
          <w:iCs/>
          <w:sz w:val="12"/>
          <w:szCs w:val="12"/>
        </w:rPr>
        <w:t>Methods and procedures:</w:t>
      </w:r>
      <w:r w:rsidRPr="009A3311">
        <w:rPr>
          <w:rFonts w:asciiTheme="majorBidi" w:hAnsiTheme="majorBidi" w:cstheme="majorBidi"/>
          <w:sz w:val="12"/>
          <w:szCs w:val="12"/>
        </w:rPr>
        <w:t xml:space="preserve"> Case- control study included 86 participants (43 children with ASD and 43 matched TD controls). Feeding behavior and eating habits were assessed using two valid questionnaires: "Behavior Pediatric Feeding Assessment"(BPFA) and "My Child Eating Habits questionnaires" respectively.</w:t>
      </w:r>
    </w:p>
    <w:p w:rsidR="00BF5627" w:rsidRPr="009A3311" w:rsidRDefault="00BF5627" w:rsidP="00BF5627">
      <w:pPr>
        <w:spacing w:line="480" w:lineRule="auto"/>
        <w:jc w:val="both"/>
        <w:rPr>
          <w:rFonts w:asciiTheme="majorBidi" w:hAnsiTheme="majorBidi" w:cstheme="majorBidi"/>
          <w:sz w:val="12"/>
          <w:szCs w:val="12"/>
        </w:rPr>
      </w:pPr>
      <w:r w:rsidRPr="009A3311">
        <w:rPr>
          <w:rFonts w:asciiTheme="majorBidi" w:hAnsiTheme="majorBidi" w:cstheme="majorBidi"/>
          <w:i/>
          <w:iCs/>
          <w:sz w:val="12"/>
          <w:szCs w:val="12"/>
        </w:rPr>
        <w:t>Results and outcomes:</w:t>
      </w:r>
      <w:r w:rsidRPr="009A3311">
        <w:rPr>
          <w:rFonts w:asciiTheme="majorBidi" w:hAnsiTheme="majorBidi" w:cstheme="majorBidi"/>
          <w:sz w:val="12"/>
          <w:szCs w:val="12"/>
        </w:rPr>
        <w:t xml:space="preserve"> ASD children had higher BPFA scores for total frequency and problem scores (p=0.001, p&lt;0.001) and higher mealtime behavior problems than TD children. No differences between groups neither in refusing food when based on presentation, color, texture nor in preferring based on crunchiness, smoothness, and temperature (p&gt;0.05) was observed. ASD children's parents had higher food refusal dealing strategies and therapy seeking (p=0.017).</w:t>
      </w:r>
    </w:p>
    <w:p w:rsidR="00BF5627" w:rsidRPr="009A3311" w:rsidRDefault="00BF5627" w:rsidP="00BF5627">
      <w:pPr>
        <w:spacing w:line="480" w:lineRule="auto"/>
        <w:jc w:val="both"/>
        <w:rPr>
          <w:rFonts w:asciiTheme="majorBidi" w:hAnsiTheme="majorBidi" w:cstheme="majorBidi"/>
          <w:sz w:val="12"/>
          <w:szCs w:val="12"/>
        </w:rPr>
      </w:pPr>
      <w:r w:rsidRPr="009A3311">
        <w:rPr>
          <w:rFonts w:asciiTheme="majorBidi" w:hAnsiTheme="majorBidi" w:cstheme="majorBidi"/>
          <w:i/>
          <w:iCs/>
          <w:sz w:val="12"/>
          <w:szCs w:val="12"/>
        </w:rPr>
        <w:t>Conclusion and implications:</w:t>
      </w:r>
      <w:r w:rsidRPr="009A3311">
        <w:rPr>
          <w:rFonts w:asciiTheme="majorBidi" w:hAnsiTheme="majorBidi" w:cstheme="majorBidi"/>
          <w:sz w:val="12"/>
          <w:szCs w:val="12"/>
        </w:rPr>
        <w:t xml:space="preserve"> Most of the children with ASD have difficulties with sensory processing and this can make eating certain foods a challenge for them, thus limiting food refusal and preference. Children with autism can also develop behavioral problems during mealtimes and their parents adopt certain strategies to deal with these behaviors. These findings allow us to endorse the importance of incorporating the evaluation of nutritional and feeding behavior problems within the clinical routine in order to avoid </w:t>
      </w:r>
      <w:r w:rsidRPr="009A3311">
        <w:rPr>
          <w:rFonts w:asciiTheme="majorBidi" w:hAnsiTheme="majorBidi" w:cstheme="majorBidi"/>
          <w:sz w:val="12"/>
          <w:szCs w:val="12"/>
          <w:shd w:val="clear" w:color="auto" w:fill="FFFFFF"/>
        </w:rPr>
        <w:t>nutritional deficiencies that lead to weight loss, malnutrition and inadequate growth</w:t>
      </w:r>
      <w:r w:rsidRPr="009A3311">
        <w:rPr>
          <w:rFonts w:asciiTheme="majorBidi" w:hAnsiTheme="majorBidi" w:cstheme="majorBidi"/>
          <w:sz w:val="12"/>
          <w:szCs w:val="12"/>
        </w:rPr>
        <w:t>.</w:t>
      </w:r>
    </w:p>
    <w:p w:rsidR="00BF5627" w:rsidRPr="009A3311" w:rsidRDefault="00BF5627" w:rsidP="00BF5627">
      <w:pPr>
        <w:spacing w:line="480" w:lineRule="auto"/>
        <w:jc w:val="both"/>
        <w:rPr>
          <w:rFonts w:asciiTheme="majorBidi" w:hAnsiTheme="majorBidi" w:cstheme="majorBidi"/>
          <w:sz w:val="12"/>
          <w:szCs w:val="12"/>
        </w:rPr>
      </w:pPr>
      <w:r w:rsidRPr="009A3311">
        <w:rPr>
          <w:rFonts w:asciiTheme="majorBidi" w:hAnsiTheme="majorBidi" w:cstheme="majorBidi"/>
          <w:sz w:val="12"/>
          <w:szCs w:val="12"/>
        </w:rPr>
        <w:t>Key words: autism spectrum disorder, typically developing, feeding behavior, eating habits, caregivers.</w:t>
      </w:r>
    </w:p>
    <w:p w:rsidR="005973B9" w:rsidRPr="009A3311" w:rsidRDefault="005973B9" w:rsidP="005973B9">
      <w:pPr>
        <w:spacing w:line="204" w:lineRule="exact"/>
        <w:rPr>
          <w:rFonts w:ascii="Arial"/>
          <w:b/>
          <w:sz w:val="12"/>
          <w:szCs w:val="12"/>
        </w:rPr>
      </w:pPr>
      <w:r w:rsidRPr="009A3311">
        <w:rPr>
          <w:rFonts w:ascii="Arial"/>
          <w:b/>
          <w:sz w:val="12"/>
          <w:szCs w:val="12"/>
        </w:rPr>
        <w:lastRenderedPageBreak/>
        <w:br/>
        <w:t>Recent Publications</w:t>
      </w:r>
    </w:p>
    <w:p w:rsidR="009A3311" w:rsidRPr="00391DAC" w:rsidRDefault="009A3311" w:rsidP="009A3311">
      <w:pPr>
        <w:widowControl/>
        <w:numPr>
          <w:ilvl w:val="0"/>
          <w:numId w:val="5"/>
        </w:numPr>
        <w:spacing w:line="276" w:lineRule="auto"/>
        <w:jc w:val="both"/>
        <w:rPr>
          <w:rFonts w:asciiTheme="majorBidi" w:hAnsiTheme="majorBidi" w:cstheme="majorBidi"/>
          <w:bCs/>
          <w:sz w:val="12"/>
          <w:szCs w:val="12"/>
        </w:rPr>
      </w:pPr>
      <w:r w:rsidRPr="00391DAC">
        <w:rPr>
          <w:rFonts w:asciiTheme="majorBidi" w:hAnsiTheme="majorBidi" w:cstheme="majorBidi"/>
          <w:sz w:val="12"/>
          <w:szCs w:val="12"/>
        </w:rPr>
        <w:t xml:space="preserve">A. </w:t>
      </w:r>
      <w:proofErr w:type="spellStart"/>
      <w:r w:rsidRPr="00391DAC">
        <w:rPr>
          <w:rFonts w:asciiTheme="majorBidi" w:hAnsiTheme="majorBidi" w:cstheme="majorBidi"/>
          <w:sz w:val="12"/>
          <w:szCs w:val="12"/>
        </w:rPr>
        <w:t>Arabi</w:t>
      </w:r>
      <w:proofErr w:type="spellEnd"/>
      <w:r w:rsidRPr="00391DAC">
        <w:rPr>
          <w:rFonts w:asciiTheme="majorBidi" w:hAnsiTheme="majorBidi" w:cstheme="majorBidi"/>
          <w:sz w:val="12"/>
          <w:szCs w:val="12"/>
        </w:rPr>
        <w:t xml:space="preserve">, </w:t>
      </w:r>
      <w:proofErr w:type="gramStart"/>
      <w:r w:rsidRPr="00391DAC">
        <w:rPr>
          <w:rFonts w:asciiTheme="majorBidi" w:hAnsiTheme="majorBidi" w:cstheme="majorBidi"/>
          <w:sz w:val="12"/>
          <w:szCs w:val="12"/>
        </w:rPr>
        <w:t>N .</w:t>
      </w:r>
      <w:proofErr w:type="gram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Khoueiry-Zgheib</w:t>
      </w:r>
      <w:proofErr w:type="spellEnd"/>
      <w:r w:rsidRPr="00391DAC">
        <w:rPr>
          <w:rFonts w:asciiTheme="majorBidi" w:hAnsiTheme="majorBidi" w:cstheme="majorBidi"/>
          <w:sz w:val="12"/>
          <w:szCs w:val="12"/>
        </w:rPr>
        <w:t xml:space="preserve">, Z. </w:t>
      </w:r>
      <w:proofErr w:type="spellStart"/>
      <w:r w:rsidRPr="00391DAC">
        <w:rPr>
          <w:rFonts w:asciiTheme="majorBidi" w:hAnsiTheme="majorBidi" w:cstheme="majorBidi"/>
          <w:sz w:val="12"/>
          <w:szCs w:val="12"/>
        </w:rPr>
        <w:t>Awada</w:t>
      </w:r>
      <w:proofErr w:type="spellEnd"/>
      <w:r w:rsidRPr="00391DAC">
        <w:rPr>
          <w:rFonts w:asciiTheme="majorBidi" w:hAnsiTheme="majorBidi" w:cstheme="majorBidi"/>
          <w:sz w:val="12"/>
          <w:szCs w:val="12"/>
        </w:rPr>
        <w:t>, R. Mahfouz, L. Al-</w:t>
      </w:r>
      <w:proofErr w:type="spellStart"/>
      <w:r w:rsidRPr="00391DAC">
        <w:rPr>
          <w:rFonts w:asciiTheme="majorBidi" w:hAnsiTheme="majorBidi" w:cstheme="majorBidi"/>
          <w:sz w:val="12"/>
          <w:szCs w:val="12"/>
        </w:rPr>
        <w:t>Shaar</w:t>
      </w:r>
      <w:proofErr w:type="spellEnd"/>
      <w:r w:rsidRPr="00391DAC">
        <w:rPr>
          <w:rFonts w:asciiTheme="majorBidi" w:hAnsiTheme="majorBidi" w:cstheme="majorBidi"/>
          <w:sz w:val="12"/>
          <w:szCs w:val="12"/>
        </w:rPr>
        <w:t xml:space="preserve">, </w:t>
      </w:r>
      <w:r w:rsidRPr="00391DAC">
        <w:rPr>
          <w:rFonts w:asciiTheme="majorBidi" w:hAnsiTheme="majorBidi" w:cstheme="majorBidi"/>
          <w:b/>
          <w:bCs/>
          <w:sz w:val="12"/>
          <w:szCs w:val="12"/>
          <w:u w:val="single"/>
        </w:rPr>
        <w:t>M. Hoteit</w:t>
      </w:r>
      <w:r w:rsidRPr="00391DAC">
        <w:rPr>
          <w:rFonts w:asciiTheme="majorBidi" w:hAnsiTheme="majorBidi" w:cstheme="majorBidi"/>
          <w:sz w:val="12"/>
          <w:szCs w:val="12"/>
        </w:rPr>
        <w:t xml:space="preserve">, M. </w:t>
      </w:r>
      <w:proofErr w:type="spellStart"/>
      <w:r w:rsidRPr="00391DAC">
        <w:rPr>
          <w:rFonts w:asciiTheme="majorBidi" w:hAnsiTheme="majorBidi" w:cstheme="majorBidi"/>
          <w:sz w:val="12"/>
          <w:szCs w:val="12"/>
        </w:rPr>
        <w:t>Rahme</w:t>
      </w:r>
      <w:proofErr w:type="spellEnd"/>
      <w:r w:rsidRPr="00391DAC">
        <w:rPr>
          <w:rFonts w:asciiTheme="majorBidi" w:hAnsiTheme="majorBidi" w:cstheme="majorBidi"/>
          <w:sz w:val="12"/>
          <w:szCs w:val="12"/>
        </w:rPr>
        <w:t xml:space="preserve"> , R. </w:t>
      </w:r>
      <w:proofErr w:type="spellStart"/>
      <w:r w:rsidRPr="00391DAC">
        <w:rPr>
          <w:rFonts w:asciiTheme="majorBidi" w:hAnsiTheme="majorBidi" w:cstheme="majorBidi"/>
          <w:sz w:val="12"/>
          <w:szCs w:val="12"/>
        </w:rPr>
        <w:t>Baddoura</w:t>
      </w:r>
      <w:proofErr w:type="spellEnd"/>
      <w:r w:rsidRPr="00391DAC">
        <w:rPr>
          <w:rFonts w:asciiTheme="majorBidi" w:hAnsiTheme="majorBidi" w:cstheme="majorBidi"/>
          <w:sz w:val="12"/>
          <w:szCs w:val="12"/>
        </w:rPr>
        <w:t xml:space="preserve"> , G. </w:t>
      </w:r>
      <w:proofErr w:type="spellStart"/>
      <w:r w:rsidRPr="00391DAC">
        <w:rPr>
          <w:rFonts w:asciiTheme="majorBidi" w:hAnsiTheme="majorBidi" w:cstheme="majorBidi"/>
          <w:sz w:val="12"/>
          <w:szCs w:val="12"/>
        </w:rPr>
        <w:t>Halabi</w:t>
      </w:r>
      <w:proofErr w:type="spellEnd"/>
      <w:r w:rsidRPr="00391DAC">
        <w:rPr>
          <w:rFonts w:asciiTheme="majorBidi" w:hAnsiTheme="majorBidi" w:cstheme="majorBidi"/>
          <w:sz w:val="12"/>
          <w:szCs w:val="12"/>
        </w:rPr>
        <w:t xml:space="preserve">, R. Singh, G. El Hajj </w:t>
      </w:r>
      <w:proofErr w:type="spellStart"/>
      <w:r w:rsidRPr="00391DAC">
        <w:rPr>
          <w:rFonts w:asciiTheme="majorBidi" w:hAnsiTheme="majorBidi" w:cstheme="majorBidi"/>
          <w:sz w:val="12"/>
          <w:szCs w:val="12"/>
        </w:rPr>
        <w:t>Fuleihan</w:t>
      </w:r>
      <w:proofErr w:type="spellEnd"/>
      <w:r w:rsidRPr="00391DAC">
        <w:rPr>
          <w:rFonts w:asciiTheme="majorBidi" w:hAnsiTheme="majorBidi" w:cstheme="majorBidi"/>
          <w:sz w:val="12"/>
          <w:szCs w:val="12"/>
        </w:rPr>
        <w:t xml:space="preserve">. </w:t>
      </w:r>
      <w:r w:rsidRPr="00391DAC">
        <w:rPr>
          <w:rFonts w:asciiTheme="majorBidi" w:hAnsiTheme="majorBidi" w:cstheme="majorBidi"/>
          <w:b/>
          <w:bCs/>
          <w:sz w:val="12"/>
          <w:szCs w:val="12"/>
        </w:rPr>
        <w:t>CYP2R1 polymorphisms are important modulators of circulating 25-hydroxyvitamin D levels in elderly females with vitamin insufficiency, but not of the response to vitamin D supplementation</w:t>
      </w:r>
      <w:r w:rsidRPr="00391DAC">
        <w:rPr>
          <w:rFonts w:asciiTheme="majorBidi" w:hAnsiTheme="majorBidi" w:cstheme="majorBidi"/>
          <w:bCs/>
          <w:sz w:val="12"/>
          <w:szCs w:val="12"/>
        </w:rPr>
        <w:t xml:space="preserve">. </w:t>
      </w:r>
      <w:proofErr w:type="spellStart"/>
      <w:r w:rsidRPr="00391DAC">
        <w:rPr>
          <w:rFonts w:asciiTheme="majorBidi" w:hAnsiTheme="majorBidi" w:cstheme="majorBidi"/>
          <w:sz w:val="12"/>
          <w:szCs w:val="12"/>
        </w:rPr>
        <w:t>Osteoporos</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Int</w:t>
      </w:r>
      <w:proofErr w:type="spellEnd"/>
      <w:r w:rsidRPr="00391DAC">
        <w:rPr>
          <w:rFonts w:asciiTheme="majorBidi" w:hAnsiTheme="majorBidi" w:cstheme="majorBidi"/>
          <w:bCs/>
          <w:sz w:val="12"/>
          <w:szCs w:val="12"/>
        </w:rPr>
        <w:t xml:space="preserve"> </w:t>
      </w:r>
      <w:r w:rsidRPr="00391DAC">
        <w:rPr>
          <w:rFonts w:asciiTheme="majorBidi" w:hAnsiTheme="majorBidi" w:cstheme="majorBidi"/>
          <w:sz w:val="12"/>
          <w:szCs w:val="12"/>
        </w:rPr>
        <w:t>DOI 2017 10.1007/s00198-016-3713-5</w:t>
      </w:r>
      <w:r w:rsidRPr="00391DAC">
        <w:rPr>
          <w:rFonts w:asciiTheme="majorBidi" w:hAnsiTheme="majorBidi" w:cstheme="majorBidi"/>
          <w:bCs/>
          <w:sz w:val="12"/>
          <w:szCs w:val="12"/>
        </w:rPr>
        <w:t>.</w:t>
      </w:r>
    </w:p>
    <w:p w:rsidR="00391DAC" w:rsidRPr="00391DAC" w:rsidRDefault="00391DAC" w:rsidP="00391DAC">
      <w:pPr>
        <w:widowControl/>
        <w:numPr>
          <w:ilvl w:val="0"/>
          <w:numId w:val="5"/>
        </w:numPr>
        <w:spacing w:line="276" w:lineRule="auto"/>
        <w:jc w:val="both"/>
        <w:rPr>
          <w:rFonts w:asciiTheme="majorBidi" w:hAnsiTheme="majorBidi" w:cstheme="majorBidi"/>
          <w:sz w:val="12"/>
          <w:szCs w:val="12"/>
        </w:rPr>
      </w:pPr>
      <w:proofErr w:type="spellStart"/>
      <w:r w:rsidRPr="00391DAC">
        <w:rPr>
          <w:rFonts w:asciiTheme="majorBidi" w:hAnsiTheme="majorBidi" w:cstheme="majorBidi"/>
          <w:sz w:val="12"/>
          <w:szCs w:val="12"/>
        </w:rPr>
        <w:t>Ghada</w:t>
      </w:r>
      <w:proofErr w:type="spellEnd"/>
      <w:r w:rsidRPr="00391DAC">
        <w:rPr>
          <w:rFonts w:asciiTheme="majorBidi" w:hAnsiTheme="majorBidi" w:cstheme="majorBidi"/>
          <w:sz w:val="12"/>
          <w:szCs w:val="12"/>
        </w:rPr>
        <w:t xml:space="preserve"> El-Hajj </w:t>
      </w:r>
      <w:proofErr w:type="spellStart"/>
      <w:r w:rsidRPr="00391DAC">
        <w:rPr>
          <w:rFonts w:asciiTheme="majorBidi" w:hAnsiTheme="majorBidi" w:cstheme="majorBidi"/>
          <w:sz w:val="12"/>
          <w:szCs w:val="12"/>
        </w:rPr>
        <w:t>Fuleihan</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Rafic</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Baddoura</w:t>
      </w:r>
      <w:proofErr w:type="spellEnd"/>
      <w:r w:rsidRPr="00391DAC">
        <w:rPr>
          <w:rFonts w:asciiTheme="majorBidi" w:hAnsiTheme="majorBidi" w:cstheme="majorBidi"/>
          <w:sz w:val="12"/>
          <w:szCs w:val="12"/>
        </w:rPr>
        <w:t xml:space="preserve">, Robert H </w:t>
      </w:r>
      <w:proofErr w:type="spellStart"/>
      <w:r w:rsidRPr="00391DAC">
        <w:rPr>
          <w:rFonts w:asciiTheme="majorBidi" w:hAnsiTheme="majorBidi" w:cstheme="majorBidi"/>
          <w:sz w:val="12"/>
          <w:szCs w:val="12"/>
        </w:rPr>
        <w:t>Habib</w:t>
      </w:r>
      <w:proofErr w:type="spellEnd"/>
      <w:r w:rsidRPr="00391DAC">
        <w:rPr>
          <w:rFonts w:asciiTheme="majorBidi" w:hAnsiTheme="majorBidi" w:cstheme="majorBidi"/>
          <w:sz w:val="12"/>
          <w:szCs w:val="12"/>
        </w:rPr>
        <w:t xml:space="preserve">, Georges Halaby, </w:t>
      </w:r>
      <w:proofErr w:type="spellStart"/>
      <w:r w:rsidRPr="00391DAC">
        <w:rPr>
          <w:rFonts w:asciiTheme="majorBidi" w:hAnsiTheme="majorBidi" w:cstheme="majorBidi"/>
          <w:sz w:val="12"/>
          <w:szCs w:val="12"/>
        </w:rPr>
        <w:t>Asma</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Arabi</w:t>
      </w:r>
      <w:proofErr w:type="spellEnd"/>
      <w:r w:rsidRPr="00391DAC">
        <w:rPr>
          <w:rFonts w:asciiTheme="majorBidi" w:hAnsiTheme="majorBidi" w:cstheme="majorBidi"/>
          <w:sz w:val="12"/>
          <w:szCs w:val="12"/>
        </w:rPr>
        <w:t xml:space="preserve">, Maya </w:t>
      </w:r>
      <w:proofErr w:type="spellStart"/>
      <w:r w:rsidRPr="00391DAC">
        <w:rPr>
          <w:rFonts w:asciiTheme="majorBidi" w:hAnsiTheme="majorBidi" w:cstheme="majorBidi"/>
          <w:sz w:val="12"/>
          <w:szCs w:val="12"/>
        </w:rPr>
        <w:t>Rahme</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Ravinder</w:t>
      </w:r>
      <w:proofErr w:type="spellEnd"/>
      <w:r w:rsidRPr="00391DAC">
        <w:rPr>
          <w:rFonts w:asciiTheme="majorBidi" w:hAnsiTheme="majorBidi" w:cstheme="majorBidi"/>
          <w:sz w:val="12"/>
          <w:szCs w:val="12"/>
        </w:rPr>
        <w:t xml:space="preserve"> J Singh, </w:t>
      </w:r>
      <w:proofErr w:type="spellStart"/>
      <w:r w:rsidRPr="00391DAC">
        <w:rPr>
          <w:rFonts w:asciiTheme="majorBidi" w:hAnsiTheme="majorBidi" w:cstheme="majorBidi"/>
          <w:sz w:val="12"/>
          <w:szCs w:val="12"/>
        </w:rPr>
        <w:t>Moustapha</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Kassem</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Ziyad</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Mahfoud,</w:t>
      </w:r>
      <w:r w:rsidRPr="00391DAC">
        <w:rPr>
          <w:rFonts w:asciiTheme="majorBidi" w:hAnsiTheme="majorBidi" w:cstheme="majorBidi"/>
          <w:b/>
          <w:bCs/>
          <w:sz w:val="12"/>
          <w:szCs w:val="12"/>
          <w:u w:val="single"/>
        </w:rPr>
        <w:t>Maha</w:t>
      </w:r>
      <w:proofErr w:type="spellEnd"/>
      <w:r w:rsidRPr="00391DAC">
        <w:rPr>
          <w:rFonts w:asciiTheme="majorBidi" w:hAnsiTheme="majorBidi" w:cstheme="majorBidi"/>
          <w:b/>
          <w:bCs/>
          <w:sz w:val="12"/>
          <w:szCs w:val="12"/>
          <w:u w:val="single"/>
        </w:rPr>
        <w:t xml:space="preserve"> Hoteit</w:t>
      </w:r>
      <w:r w:rsidRPr="00391DAC">
        <w:rPr>
          <w:rFonts w:asciiTheme="majorBidi" w:hAnsiTheme="majorBidi" w:cstheme="majorBidi"/>
          <w:sz w:val="12"/>
          <w:szCs w:val="12"/>
        </w:rPr>
        <w:t xml:space="preserve">, Rose T </w:t>
      </w:r>
      <w:proofErr w:type="spellStart"/>
      <w:r w:rsidRPr="00391DAC">
        <w:rPr>
          <w:rFonts w:asciiTheme="majorBidi" w:hAnsiTheme="majorBidi" w:cstheme="majorBidi"/>
          <w:sz w:val="12"/>
          <w:szCs w:val="12"/>
        </w:rPr>
        <w:t>Daher</w:t>
      </w:r>
      <w:proofErr w:type="spellEnd"/>
      <w:r w:rsidRPr="00391DAC">
        <w:rPr>
          <w:rFonts w:asciiTheme="majorBidi" w:hAnsiTheme="majorBidi" w:cstheme="majorBidi"/>
          <w:sz w:val="12"/>
          <w:szCs w:val="12"/>
        </w:rPr>
        <w:t xml:space="preserve">, and Mohamed-Faisal </w:t>
      </w:r>
      <w:proofErr w:type="spellStart"/>
      <w:r w:rsidRPr="00391DAC">
        <w:rPr>
          <w:rFonts w:asciiTheme="majorBidi" w:hAnsiTheme="majorBidi" w:cstheme="majorBidi"/>
          <w:sz w:val="12"/>
          <w:szCs w:val="12"/>
        </w:rPr>
        <w:t>Kassir</w:t>
      </w:r>
      <w:proofErr w:type="spellEnd"/>
      <w:r w:rsidRPr="00391DAC">
        <w:rPr>
          <w:rFonts w:asciiTheme="majorBidi" w:hAnsiTheme="majorBidi" w:cstheme="majorBidi"/>
          <w:sz w:val="12"/>
          <w:szCs w:val="12"/>
        </w:rPr>
        <w:t xml:space="preserve">. </w:t>
      </w:r>
      <w:r w:rsidRPr="00391DAC">
        <w:rPr>
          <w:rFonts w:asciiTheme="majorBidi" w:hAnsiTheme="majorBidi" w:cstheme="majorBidi"/>
          <w:b/>
          <w:bCs/>
          <w:sz w:val="12"/>
          <w:szCs w:val="12"/>
        </w:rPr>
        <w:t>Effect of vitamin D replacement on indexes of insulin resistance in overweight elderly individuals: a randomized controlled trial</w:t>
      </w:r>
      <w:proofErr w:type="gramStart"/>
      <w:r w:rsidRPr="00391DAC">
        <w:rPr>
          <w:rFonts w:asciiTheme="majorBidi" w:hAnsiTheme="majorBidi" w:cstheme="majorBidi"/>
          <w:sz w:val="12"/>
          <w:szCs w:val="12"/>
        </w:rPr>
        <w:t>,.</w:t>
      </w:r>
      <w:proofErr w:type="gramEnd"/>
      <w:r w:rsidRPr="00391DAC">
        <w:rPr>
          <w:rFonts w:asciiTheme="majorBidi" w:hAnsiTheme="majorBidi" w:cstheme="majorBidi"/>
          <w:sz w:val="12"/>
          <w:szCs w:val="12"/>
        </w:rPr>
        <w:t xml:space="preserve"> AJCN. First published ahead of print July 13, 2016 as </w:t>
      </w:r>
      <w:proofErr w:type="spellStart"/>
      <w:r w:rsidRPr="00391DAC">
        <w:rPr>
          <w:rFonts w:asciiTheme="majorBidi" w:hAnsiTheme="majorBidi" w:cstheme="majorBidi"/>
          <w:sz w:val="12"/>
          <w:szCs w:val="12"/>
        </w:rPr>
        <w:t>doi</w:t>
      </w:r>
      <w:proofErr w:type="spellEnd"/>
      <w:r w:rsidRPr="00391DAC">
        <w:rPr>
          <w:rFonts w:asciiTheme="majorBidi" w:hAnsiTheme="majorBidi" w:cstheme="majorBidi"/>
          <w:sz w:val="12"/>
          <w:szCs w:val="12"/>
        </w:rPr>
        <w:t>: 10.3945/ajcn.116.132589.</w:t>
      </w:r>
    </w:p>
    <w:p w:rsidR="009A3311" w:rsidRPr="00391DAC" w:rsidRDefault="009A3311" w:rsidP="009A3311">
      <w:pPr>
        <w:widowControl/>
        <w:numPr>
          <w:ilvl w:val="0"/>
          <w:numId w:val="5"/>
        </w:numPr>
        <w:spacing w:line="276" w:lineRule="auto"/>
        <w:jc w:val="both"/>
        <w:rPr>
          <w:rFonts w:asciiTheme="majorBidi" w:hAnsiTheme="majorBidi" w:cstheme="majorBidi"/>
          <w:sz w:val="12"/>
          <w:szCs w:val="12"/>
        </w:rPr>
      </w:pPr>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Zahraa</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Kassem</w:t>
      </w:r>
      <w:proofErr w:type="spellEnd"/>
      <w:r w:rsidRPr="00391DAC">
        <w:rPr>
          <w:rFonts w:asciiTheme="majorBidi" w:hAnsiTheme="majorBidi" w:cstheme="majorBidi"/>
          <w:sz w:val="12"/>
          <w:szCs w:val="12"/>
        </w:rPr>
        <w:t xml:space="preserve">, Doha </w:t>
      </w:r>
      <w:proofErr w:type="spellStart"/>
      <w:r w:rsidRPr="00391DAC">
        <w:rPr>
          <w:rFonts w:asciiTheme="majorBidi" w:hAnsiTheme="majorBidi" w:cstheme="majorBidi"/>
          <w:sz w:val="12"/>
          <w:szCs w:val="12"/>
        </w:rPr>
        <w:t>Saleh</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Mohamad</w:t>
      </w:r>
      <w:proofErr w:type="spellEnd"/>
      <w:r w:rsidRPr="00391DAC">
        <w:rPr>
          <w:rFonts w:asciiTheme="majorBidi" w:hAnsiTheme="majorBidi" w:cstheme="majorBidi"/>
          <w:sz w:val="12"/>
          <w:szCs w:val="12"/>
        </w:rPr>
        <w:t xml:space="preserve"> Al-</w:t>
      </w:r>
      <w:proofErr w:type="spellStart"/>
      <w:r w:rsidRPr="00391DAC">
        <w:rPr>
          <w:rFonts w:asciiTheme="majorBidi" w:hAnsiTheme="majorBidi" w:cstheme="majorBidi"/>
          <w:sz w:val="12"/>
          <w:szCs w:val="12"/>
        </w:rPr>
        <w:t>Iskandarani</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Loubna</w:t>
      </w:r>
      <w:proofErr w:type="spellEnd"/>
      <w:r w:rsidRPr="00391DAC">
        <w:rPr>
          <w:rFonts w:asciiTheme="majorBidi" w:hAnsiTheme="majorBidi" w:cstheme="majorBidi"/>
          <w:sz w:val="12"/>
          <w:szCs w:val="12"/>
        </w:rPr>
        <w:t xml:space="preserve"> El </w:t>
      </w:r>
      <w:proofErr w:type="spellStart"/>
      <w:r w:rsidRPr="00391DAC">
        <w:rPr>
          <w:rFonts w:asciiTheme="majorBidi" w:hAnsiTheme="majorBidi" w:cstheme="majorBidi"/>
          <w:sz w:val="12"/>
          <w:szCs w:val="12"/>
        </w:rPr>
        <w:t>Tayyara</w:t>
      </w:r>
      <w:proofErr w:type="spellEnd"/>
      <w:r w:rsidRPr="00391DAC">
        <w:rPr>
          <w:rFonts w:asciiTheme="majorBidi" w:hAnsiTheme="majorBidi" w:cstheme="majorBidi"/>
          <w:sz w:val="12"/>
          <w:szCs w:val="12"/>
        </w:rPr>
        <w:t xml:space="preserve"> and </w:t>
      </w:r>
      <w:r w:rsidRPr="00391DAC">
        <w:rPr>
          <w:rFonts w:asciiTheme="majorBidi" w:hAnsiTheme="majorBidi" w:cstheme="majorBidi"/>
          <w:b/>
          <w:bCs/>
          <w:sz w:val="12"/>
          <w:szCs w:val="12"/>
          <w:u w:val="single"/>
        </w:rPr>
        <w:t>Maha Hoteit.</w:t>
      </w:r>
      <w:r w:rsidRPr="00391DAC">
        <w:rPr>
          <w:rFonts w:asciiTheme="majorBidi" w:hAnsiTheme="majorBidi" w:cstheme="majorBidi"/>
          <w:sz w:val="12"/>
          <w:szCs w:val="12"/>
        </w:rPr>
        <w:t xml:space="preserve"> </w:t>
      </w:r>
      <w:r w:rsidRPr="00391DAC">
        <w:rPr>
          <w:rFonts w:asciiTheme="majorBidi" w:hAnsiTheme="majorBidi" w:cstheme="majorBidi"/>
          <w:b/>
          <w:bCs/>
          <w:sz w:val="12"/>
          <w:szCs w:val="12"/>
        </w:rPr>
        <w:t>Fruits and Vegetables Intake Lowers the Risk of Hypertension: Does It Really Work?</w:t>
      </w:r>
      <w:r w:rsidRPr="00391DAC">
        <w:rPr>
          <w:rFonts w:asciiTheme="majorBidi" w:hAnsiTheme="majorBidi" w:cstheme="majorBidi"/>
          <w:sz w:val="12"/>
          <w:szCs w:val="12"/>
        </w:rPr>
        <w:t xml:space="preserve"> Elixir Nutrition and Dietetics 100; (2016); 43688-43692.</w:t>
      </w:r>
    </w:p>
    <w:p w:rsidR="009A3311" w:rsidRPr="00391DAC" w:rsidRDefault="009A3311" w:rsidP="009A3311">
      <w:pPr>
        <w:widowControl/>
        <w:numPr>
          <w:ilvl w:val="0"/>
          <w:numId w:val="5"/>
        </w:numPr>
        <w:spacing w:line="276" w:lineRule="auto"/>
        <w:jc w:val="both"/>
        <w:rPr>
          <w:rFonts w:asciiTheme="majorBidi" w:hAnsiTheme="majorBidi" w:cstheme="majorBidi"/>
          <w:sz w:val="12"/>
          <w:szCs w:val="12"/>
        </w:rPr>
      </w:pPr>
      <w:proofErr w:type="spellStart"/>
      <w:r w:rsidRPr="00391DAC">
        <w:rPr>
          <w:rFonts w:asciiTheme="majorBidi" w:eastAsia="TimesNewRomanPS-BoldMT" w:hAnsiTheme="majorBidi" w:cstheme="majorBidi"/>
          <w:sz w:val="12"/>
          <w:szCs w:val="12"/>
        </w:rPr>
        <w:t>Amani</w:t>
      </w:r>
      <w:proofErr w:type="spellEnd"/>
      <w:r w:rsidRPr="00391DAC">
        <w:rPr>
          <w:rFonts w:asciiTheme="majorBidi" w:eastAsia="TimesNewRomanPS-BoldMT" w:hAnsiTheme="majorBidi" w:cstheme="majorBidi"/>
          <w:sz w:val="12"/>
          <w:szCs w:val="12"/>
        </w:rPr>
        <w:t xml:space="preserve"> </w:t>
      </w:r>
      <w:proofErr w:type="spellStart"/>
      <w:r w:rsidRPr="00391DAC">
        <w:rPr>
          <w:rFonts w:asciiTheme="majorBidi" w:eastAsia="TimesNewRomanPS-BoldMT" w:hAnsiTheme="majorBidi" w:cstheme="majorBidi"/>
          <w:sz w:val="12"/>
          <w:szCs w:val="12"/>
        </w:rPr>
        <w:t>Haidar</w:t>
      </w:r>
      <w:proofErr w:type="spellEnd"/>
      <w:r w:rsidRPr="00391DAC">
        <w:rPr>
          <w:rFonts w:asciiTheme="majorBidi" w:eastAsia="TimesNewRomanPS-BoldMT" w:hAnsiTheme="majorBidi" w:cstheme="majorBidi"/>
          <w:sz w:val="12"/>
          <w:szCs w:val="12"/>
        </w:rPr>
        <w:t xml:space="preserve">, Lama </w:t>
      </w:r>
      <w:proofErr w:type="spellStart"/>
      <w:r w:rsidRPr="00391DAC">
        <w:rPr>
          <w:rFonts w:asciiTheme="majorBidi" w:eastAsia="TimesNewRomanPS-BoldMT" w:hAnsiTheme="majorBidi" w:cstheme="majorBidi"/>
          <w:sz w:val="12"/>
          <w:szCs w:val="12"/>
        </w:rPr>
        <w:t>Jouni</w:t>
      </w:r>
      <w:proofErr w:type="spellEnd"/>
      <w:r w:rsidRPr="00391DAC">
        <w:rPr>
          <w:rFonts w:asciiTheme="majorBidi" w:eastAsia="TimesNewRomanPS-BoldMT" w:hAnsiTheme="majorBidi" w:cstheme="majorBidi"/>
          <w:sz w:val="12"/>
          <w:szCs w:val="12"/>
        </w:rPr>
        <w:t xml:space="preserve">, </w:t>
      </w:r>
      <w:proofErr w:type="spellStart"/>
      <w:r w:rsidRPr="00391DAC">
        <w:rPr>
          <w:rFonts w:asciiTheme="majorBidi" w:eastAsia="TimesNewRomanPS-BoldMT" w:hAnsiTheme="majorBidi" w:cstheme="majorBidi"/>
          <w:sz w:val="12"/>
          <w:szCs w:val="12"/>
        </w:rPr>
        <w:t>Mohamad</w:t>
      </w:r>
      <w:proofErr w:type="spellEnd"/>
      <w:r w:rsidRPr="00391DAC">
        <w:rPr>
          <w:rFonts w:asciiTheme="majorBidi" w:eastAsia="TimesNewRomanPS-BoldMT" w:hAnsiTheme="majorBidi" w:cstheme="majorBidi"/>
          <w:sz w:val="12"/>
          <w:szCs w:val="12"/>
        </w:rPr>
        <w:t xml:space="preserve"> </w:t>
      </w:r>
      <w:proofErr w:type="spellStart"/>
      <w:r w:rsidRPr="00391DAC">
        <w:rPr>
          <w:rFonts w:asciiTheme="majorBidi" w:eastAsia="TimesNewRomanPS-BoldMT" w:hAnsiTheme="majorBidi" w:cstheme="majorBidi"/>
          <w:sz w:val="12"/>
          <w:szCs w:val="12"/>
        </w:rPr>
        <w:t>Koubar</w:t>
      </w:r>
      <w:proofErr w:type="spellEnd"/>
      <w:r w:rsidRPr="00391DAC">
        <w:rPr>
          <w:rFonts w:asciiTheme="majorBidi" w:eastAsia="TimesNewRomanPS-BoldMT" w:hAnsiTheme="majorBidi" w:cstheme="majorBidi"/>
          <w:sz w:val="12"/>
          <w:szCs w:val="12"/>
        </w:rPr>
        <w:t xml:space="preserve">, </w:t>
      </w:r>
      <w:proofErr w:type="spellStart"/>
      <w:r w:rsidRPr="00391DAC">
        <w:rPr>
          <w:rFonts w:asciiTheme="majorBidi" w:eastAsia="TimesNewRomanPS-BoldMT" w:hAnsiTheme="majorBidi" w:cstheme="majorBidi"/>
          <w:sz w:val="12"/>
          <w:szCs w:val="12"/>
        </w:rPr>
        <w:t>Sarine</w:t>
      </w:r>
      <w:proofErr w:type="spellEnd"/>
      <w:r w:rsidRPr="00391DAC">
        <w:rPr>
          <w:rFonts w:asciiTheme="majorBidi" w:eastAsia="TimesNewRomanPS-BoldMT" w:hAnsiTheme="majorBidi" w:cstheme="majorBidi"/>
          <w:sz w:val="12"/>
          <w:szCs w:val="12"/>
        </w:rPr>
        <w:t xml:space="preserve"> El </w:t>
      </w:r>
      <w:proofErr w:type="spellStart"/>
      <w:r w:rsidRPr="00391DAC">
        <w:rPr>
          <w:rFonts w:asciiTheme="majorBidi" w:eastAsia="TimesNewRomanPS-BoldMT" w:hAnsiTheme="majorBidi" w:cstheme="majorBidi"/>
          <w:sz w:val="12"/>
          <w:szCs w:val="12"/>
        </w:rPr>
        <w:t>Daouk</w:t>
      </w:r>
      <w:proofErr w:type="spellEnd"/>
      <w:r w:rsidRPr="00391DAC">
        <w:rPr>
          <w:rFonts w:asciiTheme="majorBidi" w:eastAsia="TimesNewRomanPS-BoldMT" w:hAnsiTheme="majorBidi" w:cstheme="majorBidi"/>
          <w:sz w:val="12"/>
          <w:szCs w:val="12"/>
        </w:rPr>
        <w:t xml:space="preserve">, </w:t>
      </w:r>
      <w:r w:rsidRPr="00391DAC">
        <w:rPr>
          <w:rFonts w:asciiTheme="majorBidi" w:eastAsia="TimesNewRomanPS-BoldMT" w:hAnsiTheme="majorBidi" w:cstheme="majorBidi"/>
          <w:b/>
          <w:bCs/>
          <w:sz w:val="12"/>
          <w:szCs w:val="12"/>
          <w:u w:val="single"/>
        </w:rPr>
        <w:t>Maha Hoteit</w:t>
      </w:r>
      <w:r w:rsidRPr="00391DAC">
        <w:rPr>
          <w:rFonts w:asciiTheme="majorBidi" w:hAnsiTheme="majorBidi" w:cstheme="majorBidi"/>
          <w:b/>
          <w:bCs/>
          <w:sz w:val="12"/>
          <w:szCs w:val="12"/>
        </w:rPr>
        <w:t xml:space="preserve">. </w:t>
      </w:r>
      <w:r w:rsidRPr="00391DAC">
        <w:rPr>
          <w:rFonts w:asciiTheme="majorBidi" w:eastAsia="TimesNewRomanPS-BoldMT" w:hAnsiTheme="majorBidi" w:cstheme="majorBidi"/>
          <w:b/>
          <w:bCs/>
          <w:sz w:val="12"/>
          <w:szCs w:val="12"/>
        </w:rPr>
        <w:t>Impact of active smoking, passive smoking, and smoking cessation on overweight and obesity: First national cross-sectional study</w:t>
      </w:r>
      <w:r w:rsidRPr="00391DAC">
        <w:rPr>
          <w:rFonts w:asciiTheme="majorBidi" w:hAnsiTheme="majorBidi" w:cstheme="majorBidi"/>
          <w:sz w:val="12"/>
          <w:szCs w:val="12"/>
        </w:rPr>
        <w:t xml:space="preserve">. </w:t>
      </w:r>
      <w:r w:rsidRPr="00391DAC">
        <w:rPr>
          <w:rFonts w:asciiTheme="majorBidi" w:eastAsia="TimesNewRomanPS-BoldMT" w:hAnsiTheme="majorBidi" w:cstheme="majorBidi"/>
          <w:sz w:val="12"/>
          <w:szCs w:val="12"/>
        </w:rPr>
        <w:t>International Journal of Medical Science and Public Health</w:t>
      </w:r>
      <w:r w:rsidRPr="00391DAC">
        <w:rPr>
          <w:rFonts w:asciiTheme="majorBidi" w:eastAsia="TimesNewRomanPS-BoldMT" w:hAnsiTheme="majorBidi" w:cstheme="majorBidi"/>
          <w:b/>
          <w:bCs/>
          <w:sz w:val="12"/>
          <w:szCs w:val="12"/>
        </w:rPr>
        <w:t xml:space="preserve">. </w:t>
      </w:r>
      <w:proofErr w:type="gramStart"/>
      <w:r w:rsidRPr="00391DAC">
        <w:rPr>
          <w:rFonts w:asciiTheme="majorBidi" w:hAnsiTheme="majorBidi" w:cstheme="majorBidi"/>
          <w:sz w:val="12"/>
          <w:szCs w:val="12"/>
        </w:rPr>
        <w:t>2017 ;</w:t>
      </w:r>
      <w:proofErr w:type="gram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Vol</w:t>
      </w:r>
      <w:proofErr w:type="spellEnd"/>
      <w:r w:rsidRPr="00391DAC">
        <w:rPr>
          <w:rFonts w:asciiTheme="majorBidi" w:hAnsiTheme="majorBidi" w:cstheme="majorBidi"/>
          <w:sz w:val="12"/>
          <w:szCs w:val="12"/>
        </w:rPr>
        <w:t xml:space="preserve"> 6 ; Issue 3; 577-582.</w:t>
      </w:r>
    </w:p>
    <w:p w:rsidR="009A3311" w:rsidRPr="00391DAC" w:rsidRDefault="009A3311" w:rsidP="009A3311">
      <w:pPr>
        <w:widowControl/>
        <w:numPr>
          <w:ilvl w:val="0"/>
          <w:numId w:val="5"/>
        </w:numPr>
        <w:spacing w:line="276" w:lineRule="auto"/>
        <w:jc w:val="both"/>
        <w:rPr>
          <w:rFonts w:asciiTheme="majorBidi" w:hAnsiTheme="majorBidi" w:cstheme="majorBidi"/>
          <w:sz w:val="12"/>
          <w:szCs w:val="12"/>
        </w:rPr>
      </w:pPr>
      <w:proofErr w:type="spellStart"/>
      <w:r w:rsidRPr="00391DAC">
        <w:rPr>
          <w:rFonts w:asciiTheme="majorBidi" w:hAnsiTheme="majorBidi" w:cstheme="majorBidi"/>
          <w:sz w:val="12"/>
          <w:szCs w:val="12"/>
        </w:rPr>
        <w:t>Samah</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Haidar</w:t>
      </w:r>
      <w:proofErr w:type="spellEnd"/>
      <w:r w:rsidRPr="00391DAC">
        <w:rPr>
          <w:rFonts w:asciiTheme="majorBidi" w:hAnsiTheme="majorBidi" w:cstheme="majorBidi"/>
          <w:sz w:val="12"/>
          <w:szCs w:val="12"/>
        </w:rPr>
        <w:t xml:space="preserve">, Doha </w:t>
      </w:r>
      <w:proofErr w:type="spellStart"/>
      <w:r w:rsidRPr="00391DAC">
        <w:rPr>
          <w:rFonts w:asciiTheme="majorBidi" w:hAnsiTheme="majorBidi" w:cstheme="majorBidi"/>
          <w:sz w:val="12"/>
          <w:szCs w:val="12"/>
        </w:rPr>
        <w:t>Shebly</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Samah</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Doumiyati</w:t>
      </w:r>
      <w:proofErr w:type="spellEnd"/>
      <w:proofErr w:type="gramStart"/>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Sarine</w:t>
      </w:r>
      <w:proofErr w:type="spellEnd"/>
      <w:proofErr w:type="gramEnd"/>
      <w:r w:rsidRPr="00391DAC">
        <w:rPr>
          <w:rFonts w:asciiTheme="majorBidi" w:hAnsiTheme="majorBidi" w:cstheme="majorBidi"/>
          <w:sz w:val="12"/>
          <w:szCs w:val="12"/>
        </w:rPr>
        <w:t xml:space="preserve"> El </w:t>
      </w:r>
      <w:proofErr w:type="spellStart"/>
      <w:r w:rsidRPr="00391DAC">
        <w:rPr>
          <w:rFonts w:asciiTheme="majorBidi" w:hAnsiTheme="majorBidi" w:cstheme="majorBidi"/>
          <w:sz w:val="12"/>
          <w:szCs w:val="12"/>
        </w:rPr>
        <w:t>Daouk</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Loubna</w:t>
      </w:r>
      <w:proofErr w:type="spellEnd"/>
      <w:r w:rsidRPr="00391DAC">
        <w:rPr>
          <w:rFonts w:asciiTheme="majorBidi" w:hAnsiTheme="majorBidi" w:cstheme="majorBidi"/>
          <w:sz w:val="12"/>
          <w:szCs w:val="12"/>
        </w:rPr>
        <w:t xml:space="preserve"> El </w:t>
      </w:r>
      <w:proofErr w:type="spellStart"/>
      <w:r w:rsidRPr="00391DAC">
        <w:rPr>
          <w:rFonts w:asciiTheme="majorBidi" w:hAnsiTheme="majorBidi" w:cstheme="majorBidi"/>
          <w:sz w:val="12"/>
          <w:szCs w:val="12"/>
        </w:rPr>
        <w:t>Tayara</w:t>
      </w:r>
      <w:proofErr w:type="spellEnd"/>
      <w:r w:rsidRPr="00391DAC">
        <w:rPr>
          <w:rFonts w:asciiTheme="majorBidi" w:hAnsiTheme="majorBidi" w:cstheme="majorBidi"/>
          <w:sz w:val="12"/>
          <w:szCs w:val="12"/>
        </w:rPr>
        <w:t xml:space="preserve">, and </w:t>
      </w:r>
      <w:r w:rsidRPr="00391DAC">
        <w:rPr>
          <w:rFonts w:asciiTheme="majorBidi" w:hAnsiTheme="majorBidi" w:cstheme="majorBidi"/>
          <w:b/>
          <w:bCs/>
          <w:sz w:val="12"/>
          <w:szCs w:val="12"/>
          <w:u w:val="single"/>
        </w:rPr>
        <w:t>Maha Hoteit</w:t>
      </w:r>
      <w:r w:rsidRPr="00391DAC">
        <w:rPr>
          <w:rFonts w:asciiTheme="majorBidi" w:hAnsiTheme="majorBidi" w:cstheme="majorBidi"/>
          <w:sz w:val="12"/>
          <w:szCs w:val="12"/>
        </w:rPr>
        <w:t xml:space="preserve">. </w:t>
      </w:r>
      <w:r w:rsidRPr="00391DAC">
        <w:rPr>
          <w:rFonts w:asciiTheme="majorBidi" w:hAnsiTheme="majorBidi" w:cstheme="majorBidi"/>
          <w:b/>
          <w:bCs/>
          <w:sz w:val="12"/>
          <w:szCs w:val="12"/>
        </w:rPr>
        <w:t>Does Mediterranean Diet Alone Lower the Risk of Diabetes</w:t>
      </w:r>
      <w:r w:rsidRPr="00391DAC">
        <w:rPr>
          <w:rFonts w:asciiTheme="majorBidi" w:hAnsiTheme="majorBidi" w:cstheme="majorBidi"/>
          <w:sz w:val="12"/>
          <w:szCs w:val="12"/>
        </w:rPr>
        <w:t>? Elixir Nutrition and Dietetics 100; (2016); 43693-43699</w:t>
      </w:r>
      <w:r w:rsidRPr="00391DAC">
        <w:rPr>
          <w:rFonts w:asciiTheme="majorBidi" w:hAnsiTheme="majorBidi" w:cstheme="majorBidi"/>
          <w:b/>
          <w:bCs/>
          <w:sz w:val="12"/>
          <w:szCs w:val="12"/>
        </w:rPr>
        <w:t>.</w:t>
      </w:r>
    </w:p>
    <w:p w:rsidR="009A3311" w:rsidRPr="00391DAC" w:rsidRDefault="009A3311" w:rsidP="009A3311">
      <w:pPr>
        <w:widowControl/>
        <w:numPr>
          <w:ilvl w:val="0"/>
          <w:numId w:val="5"/>
        </w:numPr>
        <w:spacing w:line="276" w:lineRule="auto"/>
        <w:jc w:val="both"/>
        <w:rPr>
          <w:rFonts w:asciiTheme="majorBidi" w:hAnsiTheme="majorBidi" w:cstheme="majorBidi"/>
          <w:sz w:val="12"/>
          <w:szCs w:val="12"/>
        </w:rPr>
      </w:pPr>
      <w:proofErr w:type="spellStart"/>
      <w:r w:rsidRPr="00391DAC">
        <w:rPr>
          <w:rStyle w:val="Emphasis"/>
          <w:rFonts w:asciiTheme="majorBidi" w:hAnsiTheme="majorBidi" w:cstheme="majorBidi"/>
          <w:sz w:val="12"/>
          <w:szCs w:val="12"/>
        </w:rPr>
        <w:t>Soha</w:t>
      </w:r>
      <w:proofErr w:type="spellEnd"/>
      <w:r w:rsidRPr="00391DAC">
        <w:rPr>
          <w:rStyle w:val="Emphasis"/>
          <w:rFonts w:asciiTheme="majorBidi" w:hAnsiTheme="majorBidi" w:cstheme="majorBidi"/>
          <w:sz w:val="12"/>
          <w:szCs w:val="12"/>
        </w:rPr>
        <w:t xml:space="preserve"> </w:t>
      </w:r>
      <w:proofErr w:type="spellStart"/>
      <w:r w:rsidRPr="00391DAC">
        <w:rPr>
          <w:rStyle w:val="Emphasis"/>
          <w:rFonts w:asciiTheme="majorBidi" w:hAnsiTheme="majorBidi" w:cstheme="majorBidi"/>
          <w:sz w:val="12"/>
          <w:szCs w:val="12"/>
        </w:rPr>
        <w:t>Hourani</w:t>
      </w:r>
      <w:proofErr w:type="spellEnd"/>
      <w:r w:rsidRPr="00391DAC">
        <w:rPr>
          <w:rStyle w:val="Emphasis"/>
          <w:rFonts w:asciiTheme="majorBidi" w:hAnsiTheme="majorBidi" w:cstheme="majorBidi"/>
          <w:sz w:val="12"/>
          <w:szCs w:val="12"/>
        </w:rPr>
        <w:t xml:space="preserve">, </w:t>
      </w:r>
      <w:proofErr w:type="spellStart"/>
      <w:r w:rsidRPr="00391DAC">
        <w:rPr>
          <w:rStyle w:val="Emphasis"/>
          <w:rFonts w:asciiTheme="majorBidi" w:hAnsiTheme="majorBidi" w:cstheme="majorBidi"/>
          <w:sz w:val="12"/>
          <w:szCs w:val="12"/>
        </w:rPr>
        <w:t>Nagham</w:t>
      </w:r>
      <w:proofErr w:type="spellEnd"/>
      <w:r w:rsidRPr="00391DAC">
        <w:rPr>
          <w:rStyle w:val="Emphasis"/>
          <w:rFonts w:asciiTheme="majorBidi" w:hAnsiTheme="majorBidi" w:cstheme="majorBidi"/>
          <w:sz w:val="12"/>
          <w:szCs w:val="12"/>
        </w:rPr>
        <w:t xml:space="preserve"> </w:t>
      </w:r>
      <w:proofErr w:type="spellStart"/>
      <w:r w:rsidRPr="00391DAC">
        <w:rPr>
          <w:rStyle w:val="Emphasis"/>
          <w:rFonts w:asciiTheme="majorBidi" w:hAnsiTheme="majorBidi" w:cstheme="majorBidi"/>
          <w:sz w:val="12"/>
          <w:szCs w:val="12"/>
        </w:rPr>
        <w:t>Hamadeh</w:t>
      </w:r>
      <w:proofErr w:type="spellEnd"/>
      <w:r w:rsidRPr="00391DAC">
        <w:rPr>
          <w:rStyle w:val="Emphasis"/>
          <w:rFonts w:asciiTheme="majorBidi" w:hAnsiTheme="majorBidi" w:cstheme="majorBidi"/>
          <w:sz w:val="12"/>
          <w:szCs w:val="12"/>
        </w:rPr>
        <w:t xml:space="preserve">, </w:t>
      </w:r>
      <w:proofErr w:type="spellStart"/>
      <w:r w:rsidRPr="00391DAC">
        <w:rPr>
          <w:rStyle w:val="Emphasis"/>
          <w:rFonts w:asciiTheme="majorBidi" w:hAnsiTheme="majorBidi" w:cstheme="majorBidi"/>
          <w:sz w:val="12"/>
          <w:szCs w:val="12"/>
        </w:rPr>
        <w:t>Mohamad</w:t>
      </w:r>
      <w:proofErr w:type="spellEnd"/>
      <w:r w:rsidRPr="00391DAC">
        <w:rPr>
          <w:rStyle w:val="Emphasis"/>
          <w:rFonts w:asciiTheme="majorBidi" w:hAnsiTheme="majorBidi" w:cstheme="majorBidi"/>
          <w:sz w:val="12"/>
          <w:szCs w:val="12"/>
        </w:rPr>
        <w:t xml:space="preserve"> Al-</w:t>
      </w:r>
      <w:proofErr w:type="spellStart"/>
      <w:r w:rsidRPr="00391DAC">
        <w:rPr>
          <w:rStyle w:val="Emphasis"/>
          <w:rFonts w:asciiTheme="majorBidi" w:hAnsiTheme="majorBidi" w:cstheme="majorBidi"/>
          <w:sz w:val="12"/>
          <w:szCs w:val="12"/>
        </w:rPr>
        <w:t>Iskandarani</w:t>
      </w:r>
      <w:proofErr w:type="spellEnd"/>
      <w:r w:rsidRPr="00391DAC">
        <w:rPr>
          <w:rStyle w:val="Emphasis"/>
          <w:rFonts w:asciiTheme="majorBidi" w:hAnsiTheme="majorBidi" w:cstheme="majorBidi"/>
          <w:sz w:val="12"/>
          <w:szCs w:val="12"/>
        </w:rPr>
        <w:t xml:space="preserve">, </w:t>
      </w:r>
      <w:proofErr w:type="spellStart"/>
      <w:r w:rsidRPr="00391DAC">
        <w:rPr>
          <w:rStyle w:val="Emphasis"/>
          <w:rFonts w:asciiTheme="majorBidi" w:hAnsiTheme="majorBidi" w:cstheme="majorBidi"/>
          <w:sz w:val="12"/>
          <w:szCs w:val="12"/>
        </w:rPr>
        <w:t>Sarine</w:t>
      </w:r>
      <w:proofErr w:type="spellEnd"/>
      <w:r w:rsidRPr="00391DAC">
        <w:rPr>
          <w:rStyle w:val="Emphasis"/>
          <w:rFonts w:asciiTheme="majorBidi" w:hAnsiTheme="majorBidi" w:cstheme="majorBidi"/>
          <w:sz w:val="12"/>
          <w:szCs w:val="12"/>
        </w:rPr>
        <w:t xml:space="preserve"> El </w:t>
      </w:r>
      <w:proofErr w:type="spellStart"/>
      <w:r w:rsidRPr="00391DAC">
        <w:rPr>
          <w:rStyle w:val="Emphasis"/>
          <w:rFonts w:asciiTheme="majorBidi" w:hAnsiTheme="majorBidi" w:cstheme="majorBidi"/>
          <w:sz w:val="12"/>
          <w:szCs w:val="12"/>
        </w:rPr>
        <w:t>Daouk</w:t>
      </w:r>
      <w:proofErr w:type="spellEnd"/>
      <w:r w:rsidRPr="00391DAC">
        <w:rPr>
          <w:rStyle w:val="Emphasis"/>
          <w:rFonts w:asciiTheme="majorBidi" w:hAnsiTheme="majorBidi" w:cstheme="majorBidi"/>
          <w:sz w:val="12"/>
          <w:szCs w:val="12"/>
        </w:rPr>
        <w:t xml:space="preserve">, </w:t>
      </w:r>
      <w:r w:rsidRPr="00391DAC">
        <w:rPr>
          <w:rStyle w:val="Emphasis"/>
          <w:rFonts w:asciiTheme="majorBidi" w:hAnsiTheme="majorBidi" w:cstheme="majorBidi"/>
          <w:b/>
          <w:bCs/>
          <w:sz w:val="12"/>
          <w:szCs w:val="12"/>
          <w:u w:val="single"/>
        </w:rPr>
        <w:t>Maha Hoteit</w:t>
      </w:r>
      <w:r w:rsidRPr="00391DAC">
        <w:rPr>
          <w:rFonts w:asciiTheme="majorBidi" w:hAnsiTheme="majorBidi" w:cstheme="majorBidi"/>
          <w:i/>
          <w:iCs/>
          <w:sz w:val="12"/>
          <w:szCs w:val="12"/>
        </w:rPr>
        <w:t>.</w:t>
      </w:r>
      <w:r w:rsidRPr="00391DAC">
        <w:rPr>
          <w:rFonts w:asciiTheme="majorBidi" w:hAnsiTheme="majorBidi" w:cstheme="majorBidi"/>
          <w:sz w:val="12"/>
          <w:szCs w:val="12"/>
        </w:rPr>
        <w:t xml:space="preserve"> </w:t>
      </w:r>
      <w:r w:rsidRPr="00391DAC">
        <w:rPr>
          <w:rFonts w:asciiTheme="majorBidi" w:hAnsiTheme="majorBidi" w:cstheme="majorBidi"/>
          <w:b/>
          <w:bCs/>
          <w:sz w:val="12"/>
          <w:szCs w:val="12"/>
        </w:rPr>
        <w:t>Physical Activity and Obesity Indicators: Prevalence and Associations through a National Cross Sectional Study on Lebanese Adults</w:t>
      </w:r>
      <w:r w:rsidRPr="00391DAC">
        <w:rPr>
          <w:rFonts w:asciiTheme="majorBidi" w:hAnsiTheme="majorBidi" w:cstheme="majorBidi"/>
          <w:sz w:val="12"/>
          <w:szCs w:val="12"/>
        </w:rPr>
        <w:t xml:space="preserve">. International Journal of Public Health Science. Vol.6, No.1, March 2017, pp. 1~6. ISSN: 2252-8806. </w:t>
      </w:r>
    </w:p>
    <w:p w:rsidR="009A3311" w:rsidRPr="00391DAC" w:rsidRDefault="009A3311" w:rsidP="009A3311">
      <w:pPr>
        <w:widowControl/>
        <w:numPr>
          <w:ilvl w:val="0"/>
          <w:numId w:val="5"/>
        </w:numPr>
        <w:spacing w:line="276" w:lineRule="auto"/>
        <w:jc w:val="both"/>
        <w:rPr>
          <w:rFonts w:asciiTheme="majorBidi" w:hAnsiTheme="majorBidi" w:cstheme="majorBidi"/>
          <w:sz w:val="12"/>
          <w:szCs w:val="12"/>
        </w:rPr>
      </w:pPr>
      <w:proofErr w:type="spellStart"/>
      <w:r w:rsidRPr="00391DAC">
        <w:rPr>
          <w:rFonts w:asciiTheme="majorBidi" w:hAnsiTheme="majorBidi" w:cstheme="majorBidi"/>
          <w:sz w:val="12"/>
          <w:szCs w:val="12"/>
        </w:rPr>
        <w:t>Abi</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Acar</w:t>
      </w:r>
      <w:proofErr w:type="spellEnd"/>
      <w:r w:rsidRPr="00391DAC">
        <w:rPr>
          <w:rFonts w:asciiTheme="majorBidi" w:hAnsiTheme="majorBidi" w:cstheme="majorBidi"/>
          <w:sz w:val="12"/>
          <w:szCs w:val="12"/>
        </w:rPr>
        <w:t xml:space="preserve"> Rita, Mansour </w:t>
      </w:r>
      <w:proofErr w:type="spellStart"/>
      <w:r w:rsidRPr="00391DAC">
        <w:rPr>
          <w:rFonts w:asciiTheme="majorBidi" w:hAnsiTheme="majorBidi" w:cstheme="majorBidi"/>
          <w:sz w:val="12"/>
          <w:szCs w:val="12"/>
        </w:rPr>
        <w:t>Racha</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Mohamad</w:t>
      </w:r>
      <w:proofErr w:type="spellEnd"/>
      <w:r w:rsidRPr="00391DAC">
        <w:rPr>
          <w:rFonts w:asciiTheme="majorBidi" w:hAnsiTheme="majorBidi" w:cstheme="majorBidi"/>
          <w:sz w:val="12"/>
          <w:szCs w:val="12"/>
        </w:rPr>
        <w:t xml:space="preserve"> Al </w:t>
      </w:r>
      <w:proofErr w:type="spellStart"/>
      <w:r w:rsidRPr="00391DAC">
        <w:rPr>
          <w:rFonts w:asciiTheme="majorBidi" w:hAnsiTheme="majorBidi" w:cstheme="majorBidi"/>
          <w:sz w:val="12"/>
          <w:szCs w:val="12"/>
        </w:rPr>
        <w:t>Iskandarani</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Loubna</w:t>
      </w:r>
      <w:proofErr w:type="spellEnd"/>
      <w:r w:rsidRPr="00391DAC">
        <w:rPr>
          <w:rFonts w:asciiTheme="majorBidi" w:hAnsiTheme="majorBidi" w:cstheme="majorBidi"/>
          <w:sz w:val="12"/>
          <w:szCs w:val="12"/>
        </w:rPr>
        <w:t xml:space="preserve"> El </w:t>
      </w:r>
      <w:proofErr w:type="spellStart"/>
      <w:r w:rsidRPr="00391DAC">
        <w:rPr>
          <w:rFonts w:asciiTheme="majorBidi" w:hAnsiTheme="majorBidi" w:cstheme="majorBidi"/>
          <w:sz w:val="12"/>
          <w:szCs w:val="12"/>
        </w:rPr>
        <w:t>Tayyara</w:t>
      </w:r>
      <w:proofErr w:type="spellEnd"/>
      <w:r w:rsidRPr="00391DAC">
        <w:rPr>
          <w:rFonts w:asciiTheme="majorBidi" w:hAnsiTheme="majorBidi" w:cstheme="majorBidi"/>
          <w:sz w:val="12"/>
          <w:szCs w:val="12"/>
        </w:rPr>
        <w:t xml:space="preserve">, </w:t>
      </w:r>
      <w:r w:rsidRPr="00391DAC">
        <w:rPr>
          <w:rFonts w:asciiTheme="majorBidi" w:hAnsiTheme="majorBidi" w:cstheme="majorBidi"/>
          <w:b/>
          <w:bCs/>
          <w:sz w:val="12"/>
          <w:szCs w:val="12"/>
          <w:u w:val="single"/>
        </w:rPr>
        <w:t>Maha Hoteit</w:t>
      </w:r>
      <w:r w:rsidRPr="00391DAC">
        <w:rPr>
          <w:rFonts w:asciiTheme="majorBidi" w:hAnsiTheme="majorBidi" w:cstheme="majorBidi"/>
          <w:sz w:val="12"/>
          <w:szCs w:val="12"/>
        </w:rPr>
        <w:t xml:space="preserve">. </w:t>
      </w:r>
      <w:r w:rsidRPr="00391DAC">
        <w:rPr>
          <w:rFonts w:asciiTheme="majorBidi" w:hAnsiTheme="majorBidi" w:cstheme="majorBidi"/>
          <w:b/>
          <w:bCs/>
          <w:sz w:val="12"/>
          <w:szCs w:val="12"/>
        </w:rPr>
        <w:t>Is Adherence To TLC Diet Inversely Associated With Dyslipidemia, High Body Mass Index and High Waist Circumference Rates?</w:t>
      </w:r>
      <w:r w:rsidRPr="00391DAC">
        <w:rPr>
          <w:rFonts w:asciiTheme="majorBidi" w:hAnsiTheme="majorBidi" w:cstheme="majorBidi"/>
          <w:sz w:val="12"/>
          <w:szCs w:val="12"/>
        </w:rPr>
        <w:t xml:space="preserve"> - </w:t>
      </w:r>
      <w:r w:rsidRPr="00391DAC">
        <w:rPr>
          <w:rFonts w:asciiTheme="majorBidi" w:hAnsiTheme="majorBidi" w:cstheme="majorBidi"/>
          <w:b/>
          <w:bCs/>
          <w:sz w:val="12"/>
          <w:szCs w:val="12"/>
        </w:rPr>
        <w:t>Validation of MEDFICTS Questionnaire</w:t>
      </w:r>
      <w:r w:rsidRPr="00391DAC">
        <w:rPr>
          <w:rFonts w:asciiTheme="majorBidi" w:hAnsiTheme="majorBidi" w:cstheme="majorBidi"/>
          <w:sz w:val="12"/>
          <w:szCs w:val="12"/>
        </w:rPr>
        <w:t>. Bio Accent Journal Nutrition (2017); 3: 13-23.</w:t>
      </w:r>
    </w:p>
    <w:p w:rsidR="009A3311" w:rsidRPr="00391DAC" w:rsidRDefault="009A3311" w:rsidP="009A3311">
      <w:pPr>
        <w:widowControl/>
        <w:numPr>
          <w:ilvl w:val="0"/>
          <w:numId w:val="5"/>
        </w:numPr>
        <w:spacing w:line="276" w:lineRule="auto"/>
        <w:jc w:val="both"/>
        <w:rPr>
          <w:rFonts w:asciiTheme="majorBidi" w:hAnsiTheme="majorBidi" w:cstheme="majorBidi"/>
          <w:sz w:val="12"/>
          <w:szCs w:val="12"/>
        </w:rPr>
      </w:pPr>
      <w:r w:rsidRPr="00391DAC">
        <w:rPr>
          <w:rFonts w:asciiTheme="majorBidi" w:hAnsiTheme="majorBidi" w:cstheme="majorBidi"/>
          <w:sz w:val="12"/>
          <w:szCs w:val="12"/>
        </w:rPr>
        <w:t xml:space="preserve">Maya </w:t>
      </w:r>
      <w:proofErr w:type="spellStart"/>
      <w:r w:rsidRPr="00391DAC">
        <w:rPr>
          <w:rFonts w:asciiTheme="majorBidi" w:hAnsiTheme="majorBidi" w:cstheme="majorBidi"/>
          <w:sz w:val="12"/>
          <w:szCs w:val="12"/>
        </w:rPr>
        <w:t>Rahme</w:t>
      </w:r>
      <w:proofErr w:type="spellEnd"/>
      <w:r w:rsidRPr="00391DAC">
        <w:rPr>
          <w:rFonts w:asciiTheme="majorBidi" w:hAnsiTheme="majorBidi" w:cstheme="majorBidi"/>
          <w:sz w:val="12"/>
          <w:szCs w:val="12"/>
        </w:rPr>
        <w:t xml:space="preserve"> MSc, </w:t>
      </w:r>
      <w:proofErr w:type="spellStart"/>
      <w:r w:rsidRPr="00391DAC">
        <w:rPr>
          <w:rFonts w:asciiTheme="majorBidi" w:hAnsiTheme="majorBidi" w:cstheme="majorBidi"/>
          <w:sz w:val="12"/>
          <w:szCs w:val="12"/>
        </w:rPr>
        <w:t>Sima</w:t>
      </w:r>
      <w:proofErr w:type="spellEnd"/>
      <w:r w:rsidRPr="00391DAC">
        <w:rPr>
          <w:rFonts w:asciiTheme="majorBidi" w:hAnsiTheme="majorBidi" w:cstheme="majorBidi"/>
          <w:sz w:val="12"/>
          <w:szCs w:val="12"/>
        </w:rPr>
        <w:t xml:space="preserve">-Lynn </w:t>
      </w:r>
      <w:proofErr w:type="spellStart"/>
      <w:r w:rsidRPr="00391DAC">
        <w:rPr>
          <w:rFonts w:asciiTheme="majorBidi" w:hAnsiTheme="majorBidi" w:cstheme="majorBidi"/>
          <w:sz w:val="12"/>
          <w:szCs w:val="12"/>
        </w:rPr>
        <w:t>Sharara</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MD</w:t>
      </w:r>
      <w:proofErr w:type="gramStart"/>
      <w:r w:rsidRPr="00391DAC">
        <w:rPr>
          <w:rFonts w:asciiTheme="majorBidi" w:hAnsiTheme="majorBidi" w:cstheme="majorBidi"/>
          <w:sz w:val="12"/>
          <w:szCs w:val="12"/>
        </w:rPr>
        <w:t>,Rafic</w:t>
      </w:r>
      <w:proofErr w:type="spellEnd"/>
      <w:proofErr w:type="gram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Baddoura</w:t>
      </w:r>
      <w:proofErr w:type="spellEnd"/>
      <w:r w:rsidRPr="00391DAC">
        <w:rPr>
          <w:rFonts w:asciiTheme="majorBidi" w:hAnsiTheme="majorBidi" w:cstheme="majorBidi"/>
          <w:sz w:val="12"/>
          <w:szCs w:val="12"/>
        </w:rPr>
        <w:t xml:space="preserve"> MD, Robert H </w:t>
      </w:r>
      <w:proofErr w:type="spellStart"/>
      <w:r w:rsidRPr="00391DAC">
        <w:rPr>
          <w:rFonts w:asciiTheme="majorBidi" w:hAnsiTheme="majorBidi" w:cstheme="majorBidi"/>
          <w:sz w:val="12"/>
          <w:szCs w:val="12"/>
        </w:rPr>
        <w:t>Habib</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PhD,Georges</w:t>
      </w:r>
      <w:proofErr w:type="spellEnd"/>
      <w:r w:rsidRPr="00391DAC">
        <w:rPr>
          <w:rFonts w:asciiTheme="majorBidi" w:hAnsiTheme="majorBidi" w:cstheme="majorBidi"/>
          <w:sz w:val="12"/>
          <w:szCs w:val="12"/>
        </w:rPr>
        <w:t xml:space="preserve"> Halaby </w:t>
      </w:r>
      <w:proofErr w:type="spellStart"/>
      <w:r w:rsidRPr="00391DAC">
        <w:rPr>
          <w:rFonts w:asciiTheme="majorBidi" w:hAnsiTheme="majorBidi" w:cstheme="majorBidi"/>
          <w:sz w:val="12"/>
          <w:szCs w:val="12"/>
        </w:rPr>
        <w:t>MD,Asma</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Arabi</w:t>
      </w:r>
      <w:proofErr w:type="spellEnd"/>
      <w:r w:rsidRPr="00391DAC">
        <w:rPr>
          <w:rFonts w:asciiTheme="majorBidi" w:hAnsiTheme="majorBidi" w:cstheme="majorBidi"/>
          <w:sz w:val="12"/>
          <w:szCs w:val="12"/>
        </w:rPr>
        <w:t xml:space="preserve"> MD, </w:t>
      </w:r>
      <w:proofErr w:type="spellStart"/>
      <w:r w:rsidRPr="00391DAC">
        <w:rPr>
          <w:rFonts w:asciiTheme="majorBidi" w:hAnsiTheme="majorBidi" w:cstheme="majorBidi"/>
          <w:sz w:val="12"/>
          <w:szCs w:val="12"/>
        </w:rPr>
        <w:t>MSc,Ravinder</w:t>
      </w:r>
      <w:proofErr w:type="spellEnd"/>
      <w:r w:rsidRPr="00391DAC">
        <w:rPr>
          <w:rFonts w:asciiTheme="majorBidi" w:hAnsiTheme="majorBidi" w:cstheme="majorBidi"/>
          <w:sz w:val="12"/>
          <w:szCs w:val="12"/>
        </w:rPr>
        <w:t xml:space="preserve"> J Singh PhD, </w:t>
      </w:r>
      <w:proofErr w:type="spellStart"/>
      <w:r w:rsidRPr="00391DAC">
        <w:rPr>
          <w:rFonts w:asciiTheme="majorBidi" w:hAnsiTheme="majorBidi" w:cstheme="majorBidi"/>
          <w:sz w:val="12"/>
          <w:szCs w:val="12"/>
        </w:rPr>
        <w:t>Moustapha</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Kassem</w:t>
      </w:r>
      <w:proofErr w:type="spellEnd"/>
      <w:r w:rsidRPr="00391DAC">
        <w:rPr>
          <w:rFonts w:asciiTheme="majorBidi" w:hAnsiTheme="majorBidi" w:cstheme="majorBidi"/>
          <w:sz w:val="12"/>
          <w:szCs w:val="12"/>
        </w:rPr>
        <w:t xml:space="preserve"> MD, </w:t>
      </w:r>
      <w:proofErr w:type="spellStart"/>
      <w:r w:rsidRPr="00391DAC">
        <w:rPr>
          <w:rFonts w:asciiTheme="majorBidi" w:hAnsiTheme="majorBidi" w:cstheme="majorBidi"/>
          <w:sz w:val="12"/>
          <w:szCs w:val="12"/>
        </w:rPr>
        <w:t>PhD,Ziyad</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Mahfoud</w:t>
      </w:r>
      <w:proofErr w:type="spellEnd"/>
      <w:r w:rsidRPr="00391DAC">
        <w:rPr>
          <w:rFonts w:asciiTheme="majorBidi" w:hAnsiTheme="majorBidi" w:cstheme="majorBidi"/>
          <w:sz w:val="12"/>
          <w:szCs w:val="12"/>
        </w:rPr>
        <w:t xml:space="preserve"> PhD, </w:t>
      </w:r>
      <w:r w:rsidRPr="00391DAC">
        <w:rPr>
          <w:rFonts w:asciiTheme="majorBidi" w:hAnsiTheme="majorBidi" w:cstheme="majorBidi"/>
          <w:b/>
          <w:bCs/>
          <w:sz w:val="12"/>
          <w:szCs w:val="12"/>
          <w:u w:val="single"/>
        </w:rPr>
        <w:t>Maha Hoteit</w:t>
      </w:r>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PhD,Rose</w:t>
      </w:r>
      <w:proofErr w:type="spellEnd"/>
      <w:r w:rsidRPr="00391DAC">
        <w:rPr>
          <w:rFonts w:asciiTheme="majorBidi" w:hAnsiTheme="majorBidi" w:cstheme="majorBidi"/>
          <w:sz w:val="12"/>
          <w:szCs w:val="12"/>
        </w:rPr>
        <w:t xml:space="preserve"> T </w:t>
      </w:r>
      <w:proofErr w:type="spellStart"/>
      <w:r w:rsidRPr="00391DAC">
        <w:rPr>
          <w:rFonts w:asciiTheme="majorBidi" w:hAnsiTheme="majorBidi" w:cstheme="majorBidi"/>
          <w:sz w:val="12"/>
          <w:szCs w:val="12"/>
        </w:rPr>
        <w:t>Daher</w:t>
      </w:r>
      <w:proofErr w:type="spellEnd"/>
      <w:r w:rsidRPr="00391DAC">
        <w:rPr>
          <w:rFonts w:asciiTheme="majorBidi" w:hAnsiTheme="majorBidi" w:cstheme="majorBidi"/>
          <w:sz w:val="12"/>
          <w:szCs w:val="12"/>
        </w:rPr>
        <w:t xml:space="preserve"> PhD, DABCC, FACB </w:t>
      </w:r>
      <w:proofErr w:type="spellStart"/>
      <w:r w:rsidRPr="00391DAC">
        <w:rPr>
          <w:rFonts w:asciiTheme="majorBidi" w:hAnsiTheme="majorBidi" w:cstheme="majorBidi"/>
          <w:sz w:val="12"/>
          <w:szCs w:val="12"/>
        </w:rPr>
        <w:t>Darina</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Bassil</w:t>
      </w:r>
      <w:proofErr w:type="spellEnd"/>
      <w:r w:rsidRPr="00391DAC">
        <w:rPr>
          <w:rFonts w:asciiTheme="majorBidi" w:hAnsiTheme="majorBidi" w:cstheme="majorBidi"/>
          <w:sz w:val="12"/>
          <w:szCs w:val="12"/>
        </w:rPr>
        <w:t xml:space="preserve"> MPH, </w:t>
      </w:r>
      <w:proofErr w:type="spellStart"/>
      <w:r w:rsidRPr="00391DAC">
        <w:rPr>
          <w:rFonts w:asciiTheme="majorBidi" w:hAnsiTheme="majorBidi" w:cstheme="majorBidi"/>
          <w:sz w:val="12"/>
          <w:szCs w:val="12"/>
        </w:rPr>
        <w:t>Karim</w:t>
      </w:r>
      <w:proofErr w:type="spellEnd"/>
      <w:r w:rsidRPr="00391DAC">
        <w:rPr>
          <w:rFonts w:asciiTheme="majorBidi" w:hAnsiTheme="majorBidi" w:cstheme="majorBidi"/>
          <w:sz w:val="12"/>
          <w:szCs w:val="12"/>
        </w:rPr>
        <w:t xml:space="preserve"> El </w:t>
      </w:r>
      <w:proofErr w:type="spellStart"/>
      <w:r w:rsidRPr="00391DAC">
        <w:rPr>
          <w:rFonts w:asciiTheme="majorBidi" w:hAnsiTheme="majorBidi" w:cstheme="majorBidi"/>
          <w:sz w:val="12"/>
          <w:szCs w:val="12"/>
        </w:rPr>
        <w:t>Ferkh</w:t>
      </w:r>
      <w:proofErr w:type="spellEnd"/>
      <w:r w:rsidRPr="00391DAC">
        <w:rPr>
          <w:rFonts w:asciiTheme="majorBidi" w:hAnsiTheme="majorBidi" w:cstheme="majorBidi"/>
          <w:sz w:val="12"/>
          <w:szCs w:val="12"/>
        </w:rPr>
        <w:t xml:space="preserve"> </w:t>
      </w:r>
      <w:proofErr w:type="spellStart"/>
      <w:r w:rsidRPr="00391DAC">
        <w:rPr>
          <w:rFonts w:asciiTheme="majorBidi" w:hAnsiTheme="majorBidi" w:cstheme="majorBidi"/>
          <w:sz w:val="12"/>
          <w:szCs w:val="12"/>
        </w:rPr>
        <w:t>MSc,Ghada</w:t>
      </w:r>
      <w:proofErr w:type="spellEnd"/>
      <w:r w:rsidRPr="00391DAC">
        <w:rPr>
          <w:rFonts w:asciiTheme="majorBidi" w:hAnsiTheme="majorBidi" w:cstheme="majorBidi"/>
          <w:sz w:val="12"/>
          <w:szCs w:val="12"/>
        </w:rPr>
        <w:t xml:space="preserve"> El-Hajj </w:t>
      </w:r>
      <w:proofErr w:type="spellStart"/>
      <w:r w:rsidRPr="00391DAC">
        <w:rPr>
          <w:rFonts w:asciiTheme="majorBidi" w:hAnsiTheme="majorBidi" w:cstheme="majorBidi"/>
          <w:sz w:val="12"/>
          <w:szCs w:val="12"/>
        </w:rPr>
        <w:t>Fuleihan</w:t>
      </w:r>
      <w:proofErr w:type="spellEnd"/>
      <w:r w:rsidRPr="00391DAC">
        <w:rPr>
          <w:rFonts w:asciiTheme="majorBidi" w:hAnsiTheme="majorBidi" w:cstheme="majorBidi"/>
          <w:sz w:val="12"/>
          <w:szCs w:val="12"/>
        </w:rPr>
        <w:t xml:space="preserve"> MD, MPH. </w:t>
      </w:r>
      <w:r w:rsidRPr="00391DAC">
        <w:rPr>
          <w:rFonts w:asciiTheme="majorBidi" w:hAnsiTheme="majorBidi" w:cstheme="majorBidi"/>
          <w:color w:val="000000"/>
          <w:sz w:val="12"/>
          <w:szCs w:val="12"/>
        </w:rPr>
        <w:t xml:space="preserve">Impact of </w:t>
      </w:r>
      <w:r w:rsidRPr="00391DAC">
        <w:rPr>
          <w:rFonts w:asciiTheme="majorBidi" w:hAnsiTheme="majorBidi" w:cstheme="majorBidi"/>
          <w:b/>
          <w:bCs/>
          <w:color w:val="000000"/>
          <w:sz w:val="12"/>
          <w:szCs w:val="12"/>
        </w:rPr>
        <w:t>Calcium and Two Doses of Vitamin D on Bone Metabolism in the Elderly: A Randomized Controlled Trial</w:t>
      </w:r>
      <w:r w:rsidRPr="00391DAC">
        <w:rPr>
          <w:rFonts w:asciiTheme="majorBidi" w:hAnsiTheme="majorBidi" w:cstheme="majorBidi"/>
          <w:color w:val="000000"/>
          <w:sz w:val="12"/>
          <w:szCs w:val="12"/>
        </w:rPr>
        <w:t xml:space="preserve">. </w:t>
      </w:r>
      <w:proofErr w:type="spellStart"/>
      <w:r w:rsidRPr="00391DAC">
        <w:rPr>
          <w:rFonts w:asciiTheme="majorBidi" w:hAnsiTheme="majorBidi" w:cstheme="majorBidi"/>
          <w:color w:val="000000"/>
          <w:sz w:val="12"/>
          <w:szCs w:val="12"/>
        </w:rPr>
        <w:t>Doi</w:t>
      </w:r>
      <w:proofErr w:type="spellEnd"/>
      <w:r w:rsidRPr="00391DAC">
        <w:rPr>
          <w:rFonts w:asciiTheme="majorBidi" w:hAnsiTheme="majorBidi" w:cstheme="majorBidi"/>
          <w:color w:val="000000"/>
          <w:sz w:val="12"/>
          <w:szCs w:val="12"/>
        </w:rPr>
        <w:t xml:space="preserve">. </w:t>
      </w:r>
      <w:r w:rsidRPr="00391DAC">
        <w:rPr>
          <w:rStyle w:val="current-selection"/>
          <w:rFonts w:asciiTheme="majorBidi" w:hAnsiTheme="majorBidi" w:cstheme="majorBidi"/>
          <w:color w:val="000000"/>
          <w:sz w:val="12"/>
          <w:szCs w:val="12"/>
          <w:shd w:val="clear" w:color="auto" w:fill="FFFFFF"/>
        </w:rPr>
        <w:t>March 2017, 10.1002/jbmr.3122</w:t>
      </w:r>
      <w:r w:rsidRPr="00391DAC">
        <w:rPr>
          <w:rFonts w:asciiTheme="majorBidi" w:hAnsiTheme="majorBidi" w:cstheme="majorBidi"/>
          <w:sz w:val="12"/>
          <w:szCs w:val="12"/>
        </w:rPr>
        <w:t>.</w:t>
      </w:r>
    </w:p>
    <w:p w:rsidR="00AE3E37" w:rsidRPr="009A3311" w:rsidRDefault="00AE3E37" w:rsidP="008756E6">
      <w:pPr>
        <w:tabs>
          <w:tab w:val="left" w:pos="384"/>
        </w:tabs>
        <w:ind w:right="117"/>
        <w:rPr>
          <w:sz w:val="12"/>
          <w:szCs w:val="12"/>
        </w:rPr>
      </w:pPr>
    </w:p>
    <w:p w:rsidR="00AE3E37" w:rsidRPr="009A3311" w:rsidRDefault="008756E6">
      <w:pPr>
        <w:spacing w:line="200" w:lineRule="exact"/>
        <w:jc w:val="both"/>
        <w:rPr>
          <w:rFonts w:ascii="Calibri" w:hAnsi="Calibri"/>
          <w:sz w:val="12"/>
          <w:szCs w:val="12"/>
        </w:rPr>
        <w:sectPr w:rsidR="00AE3E37" w:rsidRPr="009A3311" w:rsidSect="00746D0E">
          <w:type w:val="continuous"/>
          <w:pgSz w:w="11910" w:h="16840"/>
          <w:pgMar w:top="1247" w:right="600" w:bottom="840" w:left="620" w:header="720" w:footer="720" w:gutter="0"/>
          <w:cols w:num="2" w:space="720" w:equalWidth="0">
            <w:col w:w="5214" w:space="138"/>
            <w:col w:w="5338"/>
          </w:cols>
        </w:sectPr>
      </w:pPr>
      <w:r w:rsidRPr="009A3311">
        <w:rPr>
          <w:rFonts w:ascii="Calibri" w:hAnsi="Calibri"/>
          <w:sz w:val="12"/>
          <w:szCs w:val="12"/>
        </w:rPr>
        <w:t xml:space="preserve">   </w:t>
      </w:r>
    </w:p>
    <w:p w:rsidR="00AE3E37" w:rsidRPr="009A3311" w:rsidRDefault="00AE3E37">
      <w:pPr>
        <w:pStyle w:val="BodyText"/>
        <w:rPr>
          <w:rFonts w:ascii="Calibri"/>
          <w:sz w:val="12"/>
          <w:szCs w:val="12"/>
        </w:rPr>
      </w:pPr>
    </w:p>
    <w:p w:rsidR="00AE3E37" w:rsidRPr="009A3311" w:rsidRDefault="00292ED9">
      <w:pPr>
        <w:pStyle w:val="BodyText"/>
        <w:spacing w:line="40" w:lineRule="exact"/>
        <w:ind w:left="2202"/>
        <w:rPr>
          <w:rFonts w:ascii="Calibri"/>
          <w:sz w:val="12"/>
          <w:szCs w:val="12"/>
        </w:rPr>
      </w:pPr>
      <w:r w:rsidRPr="009A3311">
        <w:rPr>
          <w:rFonts w:ascii="Calibri"/>
          <w:noProof/>
          <w:sz w:val="12"/>
          <w:szCs w:val="12"/>
        </w:rPr>
        <mc:AlternateContent>
          <mc:Choice Requires="wpg">
            <w:drawing>
              <wp:inline distT="0" distB="0" distL="0" distR="0" wp14:anchorId="248A3A30" wp14:editId="65E7173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C5B48" w:rsidRPr="009A3311" w:rsidRDefault="00707902" w:rsidP="00707902">
      <w:pPr>
        <w:spacing w:before="92"/>
        <w:ind w:right="4234"/>
        <w:rPr>
          <w:rFonts w:asciiTheme="majorBidi" w:hAnsiTheme="majorBidi" w:cstheme="majorBidi"/>
          <w:sz w:val="12"/>
          <w:szCs w:val="12"/>
        </w:rPr>
      </w:pPr>
      <w:bookmarkStart w:id="0" w:name="_Ref485706098"/>
      <w:r>
        <w:rPr>
          <w:noProof/>
          <w:sz w:val="12"/>
          <w:szCs w:val="12"/>
        </w:rPr>
        <w:t xml:space="preserve">           </w:t>
      </w:r>
      <w:r w:rsidR="00235403" w:rsidRPr="009A3311">
        <w:rPr>
          <w:noProof/>
          <w:sz w:val="12"/>
          <w:szCs w:val="12"/>
        </w:rPr>
        <w:drawing>
          <wp:anchor distT="0" distB="0" distL="114300" distR="114300" simplePos="0" relativeHeight="251659264" behindDoc="1" locked="0" layoutInCell="1" allowOverlap="1" wp14:anchorId="1B08ABFD" wp14:editId="36BACD9F">
            <wp:simplePos x="0" y="0"/>
            <wp:positionH relativeFrom="column">
              <wp:posOffset>52070</wp:posOffset>
            </wp:positionH>
            <wp:positionV relativeFrom="paragraph">
              <wp:posOffset>4965065</wp:posOffset>
            </wp:positionV>
            <wp:extent cx="6795770" cy="4337685"/>
            <wp:effectExtent l="0" t="0" r="0" b="0"/>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roofErr w:type="gramStart"/>
      <w:r w:rsidR="00EC5B48" w:rsidRPr="009A3311">
        <w:rPr>
          <w:rFonts w:asciiTheme="majorBidi" w:hAnsiTheme="majorBidi" w:cstheme="majorBidi"/>
          <w:sz w:val="12"/>
          <w:szCs w:val="12"/>
        </w:rPr>
        <w:t>Fig.</w:t>
      </w:r>
      <w:proofErr w:type="gramEnd"/>
      <w:r w:rsidR="00EC5B48" w:rsidRPr="009A3311">
        <w:rPr>
          <w:rFonts w:asciiTheme="majorBidi" w:hAnsiTheme="majorBidi" w:cstheme="majorBidi"/>
          <w:sz w:val="12"/>
          <w:szCs w:val="12"/>
        </w:rPr>
        <w:t xml:space="preserve"> </w:t>
      </w:r>
      <w:r w:rsidR="00EC5B48" w:rsidRPr="009A3311">
        <w:rPr>
          <w:sz w:val="12"/>
          <w:szCs w:val="12"/>
        </w:rPr>
        <w:fldChar w:fldCharType="begin"/>
      </w:r>
      <w:r w:rsidR="00EC5B48" w:rsidRPr="009A3311">
        <w:rPr>
          <w:rFonts w:asciiTheme="majorBidi" w:hAnsiTheme="majorBidi" w:cstheme="majorBidi"/>
          <w:sz w:val="12"/>
          <w:szCs w:val="12"/>
        </w:rPr>
        <w:instrText xml:space="preserve"> SEQ Figure \* ARABIC </w:instrText>
      </w:r>
      <w:r w:rsidR="00EC5B48" w:rsidRPr="009A3311">
        <w:rPr>
          <w:sz w:val="12"/>
          <w:szCs w:val="12"/>
        </w:rPr>
        <w:fldChar w:fldCharType="separate"/>
      </w:r>
      <w:r w:rsidR="00EC5B48" w:rsidRPr="009A3311">
        <w:rPr>
          <w:rFonts w:asciiTheme="majorBidi" w:hAnsiTheme="majorBidi" w:cstheme="majorBidi"/>
          <w:noProof/>
          <w:sz w:val="12"/>
          <w:szCs w:val="12"/>
        </w:rPr>
        <w:t>1</w:t>
      </w:r>
      <w:r w:rsidR="00EC5B48" w:rsidRPr="009A3311">
        <w:rPr>
          <w:sz w:val="12"/>
          <w:szCs w:val="12"/>
        </w:rPr>
        <w:fldChar w:fldCharType="end"/>
      </w:r>
      <w:bookmarkEnd w:id="0"/>
      <w:r w:rsidR="00EC5B48" w:rsidRPr="009A3311">
        <w:rPr>
          <w:rFonts w:asciiTheme="majorBidi" w:hAnsiTheme="majorBidi" w:cstheme="majorBidi"/>
          <w:noProof/>
          <w:sz w:val="12"/>
          <w:szCs w:val="12"/>
        </w:rPr>
        <w:t>.</w:t>
      </w:r>
    </w:p>
    <w:p w:rsidR="00EC5B48" w:rsidRPr="009A3311" w:rsidRDefault="00EC5B48" w:rsidP="00EC5B48">
      <w:pPr>
        <w:spacing w:line="276" w:lineRule="auto"/>
        <w:rPr>
          <w:rFonts w:asciiTheme="majorBidi" w:hAnsiTheme="majorBidi" w:cstheme="majorBidi"/>
          <w:sz w:val="12"/>
          <w:szCs w:val="12"/>
        </w:rPr>
      </w:pPr>
      <w:r w:rsidRPr="009A3311">
        <w:rPr>
          <w:rFonts w:asciiTheme="majorBidi" w:hAnsiTheme="majorBidi" w:cstheme="majorBidi"/>
          <w:sz w:val="12"/>
          <w:szCs w:val="12"/>
        </w:rPr>
        <w:t>Allen three factors for Behavior Pediatric Assessment scale for children with ASD and whether or not the parents feel the behavior is a problem.</w:t>
      </w:r>
    </w:p>
    <w:p w:rsidR="00EC5B48" w:rsidRPr="009A3311" w:rsidRDefault="00EC5B48" w:rsidP="00EC5B48">
      <w:pPr>
        <w:pStyle w:val="BodyText"/>
        <w:spacing w:before="2"/>
        <w:rPr>
          <w:rFonts w:ascii="Arial"/>
          <w:b/>
          <w:sz w:val="12"/>
          <w:szCs w:val="12"/>
        </w:rPr>
      </w:pPr>
    </w:p>
    <w:p w:rsidR="00AE3E37" w:rsidRPr="009A3311" w:rsidRDefault="00292ED9" w:rsidP="00EC5B48">
      <w:pPr>
        <w:spacing w:before="41" w:line="154" w:lineRule="exact"/>
        <w:ind w:left="213" w:right="231"/>
        <w:jc w:val="both"/>
        <w:rPr>
          <w:rFonts w:ascii="Minion Pro"/>
          <w:sz w:val="12"/>
          <w:szCs w:val="12"/>
        </w:rPr>
      </w:pPr>
      <w:r w:rsidRPr="009A3311">
        <w:rPr>
          <w:noProof/>
          <w:sz w:val="12"/>
          <w:szCs w:val="12"/>
        </w:rPr>
        <mc:AlternateContent>
          <mc:Choice Requires="wps">
            <w:drawing>
              <wp:anchor distT="0" distB="0" distL="0" distR="0" simplePos="0" relativeHeight="1072" behindDoc="0" locked="0" layoutInCell="1" allowOverlap="1" wp14:anchorId="4CEFE590" wp14:editId="2A46A1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8131E" w:rsidRDefault="0088131E">
      <w:pPr>
        <w:pStyle w:val="BodyText"/>
        <w:spacing w:before="3"/>
        <w:rPr>
          <w:rFonts w:ascii="Minion Pro"/>
          <w:sz w:val="12"/>
          <w:szCs w:val="12"/>
        </w:rPr>
      </w:pPr>
    </w:p>
    <w:p w:rsidR="00653BFE" w:rsidRDefault="00653BFE">
      <w:pPr>
        <w:pStyle w:val="BodyText"/>
        <w:spacing w:before="3"/>
        <w:rPr>
          <w:rFonts w:ascii="Minion Pro"/>
          <w:sz w:val="12"/>
          <w:szCs w:val="12"/>
        </w:rPr>
      </w:pPr>
    </w:p>
    <w:p w:rsidR="00653BFE" w:rsidRDefault="00653BFE">
      <w:pPr>
        <w:pStyle w:val="BodyText"/>
        <w:spacing w:before="3"/>
        <w:rPr>
          <w:rFonts w:ascii="Minion Pro"/>
          <w:sz w:val="12"/>
          <w:szCs w:val="12"/>
        </w:rPr>
      </w:pPr>
    </w:p>
    <w:p w:rsidR="00653BFE" w:rsidRDefault="00653BFE">
      <w:pPr>
        <w:pStyle w:val="BodyText"/>
        <w:spacing w:before="3"/>
        <w:rPr>
          <w:rFonts w:ascii="Minion Pro"/>
          <w:sz w:val="12"/>
          <w:szCs w:val="12"/>
        </w:rPr>
      </w:pPr>
    </w:p>
    <w:p w:rsidR="00653BFE" w:rsidRDefault="00653BFE">
      <w:pPr>
        <w:pStyle w:val="BodyText"/>
        <w:spacing w:before="3"/>
        <w:rPr>
          <w:rFonts w:ascii="Minion Pro"/>
          <w:sz w:val="12"/>
          <w:szCs w:val="12"/>
        </w:rPr>
      </w:pPr>
    </w:p>
    <w:p w:rsidR="00653BFE" w:rsidRDefault="00653BFE">
      <w:pPr>
        <w:pStyle w:val="BodyText"/>
        <w:spacing w:before="3"/>
        <w:rPr>
          <w:rFonts w:ascii="Minion Pro"/>
          <w:sz w:val="12"/>
          <w:szCs w:val="12"/>
        </w:rPr>
      </w:pPr>
    </w:p>
    <w:p w:rsidR="00653BFE" w:rsidRDefault="00653BFE">
      <w:pPr>
        <w:pStyle w:val="BodyText"/>
        <w:spacing w:before="3"/>
        <w:rPr>
          <w:rFonts w:ascii="Minion Pro"/>
          <w:sz w:val="12"/>
          <w:szCs w:val="12"/>
        </w:rPr>
      </w:pPr>
    </w:p>
    <w:p w:rsidR="00653BFE" w:rsidRDefault="00653BFE">
      <w:pPr>
        <w:pStyle w:val="BodyText"/>
        <w:spacing w:before="3"/>
        <w:rPr>
          <w:rFonts w:ascii="Minion Pro"/>
          <w:sz w:val="12"/>
          <w:szCs w:val="12"/>
        </w:rPr>
      </w:pPr>
    </w:p>
    <w:p w:rsidR="00653BFE" w:rsidRDefault="00653BFE">
      <w:pPr>
        <w:pStyle w:val="BodyText"/>
        <w:spacing w:before="3"/>
        <w:rPr>
          <w:rFonts w:ascii="Minion Pro"/>
          <w:sz w:val="12"/>
          <w:szCs w:val="12"/>
        </w:rPr>
      </w:pPr>
    </w:p>
    <w:p w:rsidR="00653BFE" w:rsidRDefault="00C87CB6">
      <w:pPr>
        <w:pStyle w:val="BodyText"/>
        <w:spacing w:before="3"/>
        <w:rPr>
          <w:rFonts w:ascii="Minion Pro"/>
          <w:sz w:val="12"/>
          <w:szCs w:val="12"/>
        </w:rPr>
      </w:pPr>
      <w:r>
        <w:rPr>
          <w:rFonts w:ascii="Minion Pro"/>
          <w:noProof/>
          <w:sz w:val="12"/>
          <w:szCs w:val="12"/>
        </w:rPr>
        <w:lastRenderedPageBreak/>
        <mc:AlternateContent>
          <mc:Choice Requires="wps">
            <w:drawing>
              <wp:anchor distT="0" distB="0" distL="114300" distR="114300" simplePos="0" relativeHeight="251660288" behindDoc="0" locked="0" layoutInCell="1" allowOverlap="1">
                <wp:simplePos x="0" y="0"/>
                <wp:positionH relativeFrom="column">
                  <wp:posOffset>3973474</wp:posOffset>
                </wp:positionH>
                <wp:positionV relativeFrom="paragraph">
                  <wp:posOffset>-23749</wp:posOffset>
                </wp:positionV>
                <wp:extent cx="2627604" cy="2867558"/>
                <wp:effectExtent l="0" t="0" r="20955" b="28575"/>
                <wp:wrapNone/>
                <wp:docPr id="3" name="Text Box 3"/>
                <wp:cNvGraphicFramePr/>
                <a:graphic xmlns:a="http://schemas.openxmlformats.org/drawingml/2006/main">
                  <a:graphicData uri="http://schemas.microsoft.com/office/word/2010/wordprocessingShape">
                    <wps:wsp>
                      <wps:cNvSpPr txBox="1"/>
                      <wps:spPr>
                        <a:xfrm>
                          <a:off x="0" y="0"/>
                          <a:ext cx="2627604" cy="28675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87CB6" w:rsidRDefault="00C87CB6">
                            <w:r>
                              <w:rPr>
                                <w:noProof/>
                              </w:rPr>
                              <w:drawing>
                                <wp:inline distT="0" distB="0" distL="0" distR="0">
                                  <wp:extent cx="2437765" cy="3250851"/>
                                  <wp:effectExtent l="0" t="0" r="635" b="6985"/>
                                  <wp:docPr id="4" name="Picture 4" descr="C:\Users\toshiba\Desktop\Personal\20160329_195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esktop\Personal\20160329_19514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7765" cy="325085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12.85pt;margin-top:-1.85pt;width:206.9pt;height:225.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" fillcolor="white [3201]" strokeweight=".5pt">
                <v:textbox>
                  <w:txbxContent>
                    <w:p w:rsidR="00C87CB6" w:rsidRDefault="00C87CB6">
                      <w:r>
                        <w:rPr>
                          <w:noProof/>
                        </w:rPr>
                        <w:drawing>
                          <wp:inline distT="0" distB="0" distL="0" distR="0">
                            <wp:extent cx="2437765" cy="3250851"/>
                            <wp:effectExtent l="0" t="0" r="635" b="6985"/>
                            <wp:docPr id="4" name="Picture 4" descr="C:\Users\toshiba\Desktop\Personal\20160329_195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esktop\Personal\20160329_19514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7765" cy="3250851"/>
                                    </a:xfrm>
                                    <a:prstGeom prst="rect">
                                      <a:avLst/>
                                    </a:prstGeom>
                                    <a:noFill/>
                                    <a:ln>
                                      <a:noFill/>
                                    </a:ln>
                                  </pic:spPr>
                                </pic:pic>
                              </a:graphicData>
                            </a:graphic>
                          </wp:inline>
                        </w:drawing>
                      </w:r>
                    </w:p>
                  </w:txbxContent>
                </v:textbox>
              </v:shape>
            </w:pict>
          </mc:Fallback>
        </mc:AlternateContent>
      </w:r>
    </w:p>
    <w:p w:rsidR="00912947" w:rsidRDefault="002B3F88" w:rsidP="0094298D">
      <w:pPr>
        <w:pStyle w:val="BodyText"/>
        <w:spacing w:before="3"/>
        <w:jc w:val="both"/>
        <w:rPr>
          <w:rFonts w:ascii="Minion Pro" w:cstheme="minorBidi"/>
          <w:sz w:val="20"/>
          <w:szCs w:val="20"/>
          <w:lang w:bidi="ar-LB"/>
        </w:rPr>
      </w:pPr>
      <w:r w:rsidRPr="002B3F88">
        <w:rPr>
          <w:rFonts w:ascii="Minion Pro" w:cstheme="minorBidi"/>
          <w:sz w:val="20"/>
          <w:szCs w:val="20"/>
          <w:lang w:bidi="ar-LB"/>
        </w:rPr>
        <w:t>Biography: Pr. Associate Maha Hoteit is the Director of Master Program in Public Health Nutrition at the Faculty of Public Health at the Lebanese University.</w:t>
      </w:r>
      <w:r w:rsidR="00C87CB6">
        <w:rPr>
          <w:rFonts w:ascii="Minion Pro" w:cstheme="minorBidi"/>
          <w:sz w:val="20"/>
          <w:szCs w:val="20"/>
          <w:lang w:bidi="ar-LB"/>
        </w:rPr>
        <w:t xml:space="preserve"> </w:t>
      </w:r>
      <w:r w:rsidR="00DC3565">
        <w:rPr>
          <w:rFonts w:ascii="Minion Pro" w:cstheme="minorBidi"/>
          <w:sz w:val="20"/>
          <w:szCs w:val="20"/>
          <w:lang w:bidi="ar-LB"/>
        </w:rPr>
        <w:t xml:space="preserve">She </w:t>
      </w:r>
      <w:r w:rsidR="0094298D">
        <w:rPr>
          <w:rFonts w:ascii="Minion Pro" w:cstheme="minorBidi"/>
          <w:sz w:val="20"/>
          <w:szCs w:val="20"/>
          <w:lang w:bidi="ar-LB"/>
        </w:rPr>
        <w:t>was</w:t>
      </w:r>
      <w:r w:rsidR="00DC3565">
        <w:rPr>
          <w:rFonts w:ascii="Minion Pro" w:cstheme="minorBidi"/>
          <w:sz w:val="20"/>
          <w:szCs w:val="20"/>
          <w:lang w:bidi="ar-LB"/>
        </w:rPr>
        <w:t xml:space="preserve"> born in 1986 and she has a PhD in Human Nutrition-</w:t>
      </w:r>
      <w:proofErr w:type="spellStart"/>
      <w:r w:rsidR="00DC3565">
        <w:rPr>
          <w:rFonts w:ascii="Minion Pro" w:cstheme="minorBidi"/>
          <w:sz w:val="20"/>
          <w:szCs w:val="20"/>
          <w:lang w:bidi="ar-LB"/>
        </w:rPr>
        <w:t>Nutrigenomics</w:t>
      </w:r>
      <w:proofErr w:type="spellEnd"/>
      <w:r w:rsidR="00DC3565">
        <w:rPr>
          <w:rFonts w:ascii="Minion Pro" w:cstheme="minorBidi"/>
          <w:sz w:val="20"/>
          <w:szCs w:val="20"/>
          <w:lang w:bidi="ar-LB"/>
        </w:rPr>
        <w:t xml:space="preserve">. </w:t>
      </w:r>
      <w:r w:rsidRPr="002B3F88">
        <w:rPr>
          <w:rFonts w:ascii="Minion Pro" w:cstheme="minorBidi"/>
          <w:sz w:val="20"/>
          <w:szCs w:val="20"/>
          <w:lang w:bidi="ar-LB"/>
        </w:rPr>
        <w:t xml:space="preserve"> </w:t>
      </w:r>
      <w:proofErr w:type="gramStart"/>
      <w:r w:rsidRPr="002B3F88">
        <w:rPr>
          <w:rFonts w:ascii="Minion Pro" w:cstheme="minorBidi"/>
          <w:sz w:val="20"/>
          <w:szCs w:val="20"/>
          <w:lang w:bidi="ar-LB"/>
        </w:rPr>
        <w:t>Her</w:t>
      </w:r>
      <w:proofErr w:type="gramEnd"/>
      <w:r w:rsidRPr="002B3F88">
        <w:rPr>
          <w:rFonts w:ascii="Minion Pro" w:cstheme="minorBidi"/>
          <w:sz w:val="20"/>
          <w:szCs w:val="20"/>
          <w:lang w:bidi="ar-LB"/>
        </w:rPr>
        <w:t xml:space="preserve"> Research interests lie in the area of public health nutrition, ranging from surveys to clinical trials than to policies implementation. In recent years, she has focused on studying the effect of nutritional interventions on health community's outcomes by spreading the term "Public Health Nutrition". More than 20 publications observed lights between 2016 and 2017 aiming to improve the quality of life of communities living in the developing countries.</w:t>
      </w:r>
      <w:r w:rsidR="00863679">
        <w:rPr>
          <w:rFonts w:ascii="Minion Pro" w:cstheme="minorBidi"/>
          <w:sz w:val="20"/>
          <w:szCs w:val="20"/>
          <w:lang w:bidi="ar-LB"/>
        </w:rPr>
        <w:t xml:space="preserve"> Main outcomes and topics were Non-Communicable diseases, Fruits and vegetables, Mediterranean diet, smoking ad body weight, physical activity and body markers, autism and Nutriti</w:t>
      </w:r>
      <w:bookmarkStart w:id="1" w:name="_GoBack"/>
      <w:bookmarkEnd w:id="1"/>
      <w:r w:rsidR="00863679">
        <w:rPr>
          <w:rFonts w:ascii="Minion Pro" w:cstheme="minorBidi"/>
          <w:sz w:val="20"/>
          <w:szCs w:val="20"/>
          <w:lang w:bidi="ar-LB"/>
        </w:rPr>
        <w:t xml:space="preserve">on, Body image and healthy lifestyle, Inflammatory bowel disease and nutrition and Vitamin D and Calcium supplementation in elderly.  </w:t>
      </w:r>
    </w:p>
    <w:p w:rsidR="00912947" w:rsidRDefault="00912947" w:rsidP="0094298D">
      <w:pPr>
        <w:pStyle w:val="BodyText"/>
        <w:spacing w:before="3"/>
        <w:jc w:val="both"/>
        <w:rPr>
          <w:rFonts w:ascii="Minion Pro" w:cstheme="minorBidi"/>
          <w:sz w:val="20"/>
          <w:szCs w:val="20"/>
          <w:lang w:bidi="ar-LB"/>
        </w:rPr>
      </w:pPr>
      <w:r>
        <w:rPr>
          <w:rFonts w:ascii="Minion Pro" w:cstheme="minorBidi"/>
          <w:sz w:val="20"/>
          <w:szCs w:val="20"/>
          <w:lang w:bidi="ar-LB"/>
        </w:rPr>
        <w:t xml:space="preserve">Email: </w:t>
      </w:r>
      <w:hyperlink r:id="rId12" w:history="1">
        <w:r w:rsidRPr="00BF2FAC">
          <w:rPr>
            <w:rStyle w:val="Hyperlink"/>
            <w:rFonts w:ascii="Minion Pro" w:cstheme="minorBidi"/>
            <w:sz w:val="20"/>
            <w:szCs w:val="20"/>
            <w:lang w:bidi="ar-LB"/>
          </w:rPr>
          <w:t>m.hoteit@ul.edu.lb</w:t>
        </w:r>
      </w:hyperlink>
    </w:p>
    <w:p w:rsidR="00912947" w:rsidRDefault="00912947" w:rsidP="0094298D">
      <w:pPr>
        <w:pStyle w:val="BodyText"/>
        <w:spacing w:before="3"/>
        <w:jc w:val="both"/>
        <w:rPr>
          <w:rFonts w:ascii="Minion Pro" w:cstheme="minorBidi"/>
          <w:sz w:val="20"/>
          <w:szCs w:val="20"/>
          <w:lang w:bidi="ar-LB"/>
        </w:rPr>
      </w:pPr>
      <w:hyperlink r:id="rId13" w:history="1">
        <w:r w:rsidRPr="00BF2FAC">
          <w:rPr>
            <w:rStyle w:val="Hyperlink"/>
            <w:rFonts w:ascii="Minion Pro" w:cstheme="minorBidi"/>
            <w:sz w:val="20"/>
            <w:szCs w:val="20"/>
            <w:lang w:bidi="ar-LB"/>
          </w:rPr>
          <w:t>maha_hoteit@hotmail.com</w:t>
        </w:r>
      </w:hyperlink>
    </w:p>
    <w:p w:rsidR="00653BFE" w:rsidRPr="002B3F88" w:rsidRDefault="002B3F88" w:rsidP="0094298D">
      <w:pPr>
        <w:pStyle w:val="BodyText"/>
        <w:spacing w:before="3"/>
        <w:jc w:val="both"/>
        <w:rPr>
          <w:rFonts w:ascii="Minion Pro" w:cstheme="minorBidi"/>
          <w:sz w:val="20"/>
          <w:szCs w:val="20"/>
          <w:lang w:bidi="ar-LB"/>
        </w:rPr>
      </w:pPr>
      <w:r w:rsidRPr="002B3F88">
        <w:rPr>
          <w:rFonts w:ascii="Minion Pro" w:cstheme="minorBidi"/>
          <w:sz w:val="20"/>
          <w:szCs w:val="20"/>
          <w:lang w:bidi="ar-LB"/>
        </w:rPr>
        <w:t xml:space="preserve">   </w:t>
      </w:r>
    </w:p>
    <w:p w:rsidR="0088131E" w:rsidRPr="002B3F88" w:rsidRDefault="0088131E">
      <w:pPr>
        <w:pStyle w:val="BodyText"/>
        <w:spacing w:before="3"/>
        <w:rPr>
          <w:rFonts w:ascii="Minion Pro"/>
          <w:sz w:val="20"/>
          <w:szCs w:val="20"/>
        </w:rPr>
      </w:pPr>
    </w:p>
    <w:p w:rsidR="0088131E" w:rsidRPr="009A3311" w:rsidRDefault="0088131E">
      <w:pPr>
        <w:pStyle w:val="BodyText"/>
        <w:spacing w:before="3"/>
        <w:rPr>
          <w:rFonts w:ascii="Minion Pro"/>
          <w:sz w:val="12"/>
          <w:szCs w:val="12"/>
        </w:rPr>
      </w:pPr>
    </w:p>
    <w:p w:rsidR="0088131E" w:rsidRPr="009A3311" w:rsidRDefault="0088131E">
      <w:pPr>
        <w:pStyle w:val="BodyText"/>
        <w:spacing w:before="3"/>
        <w:rPr>
          <w:rFonts w:ascii="Minion Pro"/>
          <w:sz w:val="12"/>
          <w:szCs w:val="12"/>
        </w:rPr>
      </w:pPr>
    </w:p>
    <w:p w:rsidR="0088131E" w:rsidRPr="009A3311" w:rsidRDefault="0088131E">
      <w:pPr>
        <w:pStyle w:val="BodyText"/>
        <w:spacing w:before="3"/>
        <w:rPr>
          <w:rFonts w:ascii="Minion Pro"/>
          <w:sz w:val="12"/>
          <w:szCs w:val="12"/>
        </w:rPr>
      </w:pPr>
    </w:p>
    <w:sectPr w:rsidR="0088131E" w:rsidRPr="009A3311"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86A" w:rsidRDefault="005E286A">
      <w:r>
        <w:separator/>
      </w:r>
    </w:p>
  </w:endnote>
  <w:endnote w:type="continuationSeparator" w:id="0">
    <w:p w:rsidR="005E286A" w:rsidRDefault="005E2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5DB755F3" wp14:editId="5D693A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86A" w:rsidRDefault="005E286A">
      <w:r>
        <w:separator/>
      </w:r>
    </w:p>
  </w:footnote>
  <w:footnote w:type="continuationSeparator" w:id="0">
    <w:p w:rsidR="005E286A" w:rsidRDefault="005E28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5542606D" wp14:editId="6E7A1CFF">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920088" w:rsidP="00073583">
                          <w:pPr>
                            <w:pStyle w:val="Header"/>
                            <w:spacing w:line="276" w:lineRule="auto"/>
                            <w:jc w:val="center"/>
                          </w:pPr>
                          <w:r>
                            <w:rPr>
                              <w:lang w:val="en-IN"/>
                            </w:rPr>
                            <w:t>3rd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Public</w:t>
                          </w:r>
                          <w:r w:rsidR="00073583" w:rsidRPr="00294731">
                            <w:t xml:space="preserve"> </w:t>
                          </w:r>
                          <w:r w:rsidR="00073583">
                            <w:t xml:space="preserve">Health </w:t>
                          </w:r>
                          <w:r w:rsidR="00073583" w:rsidRPr="00294731">
                            <w:t xml:space="preserve">and </w:t>
                          </w:r>
                          <w:r w:rsidR="00073583">
                            <w:t>Nutrition</w:t>
                          </w:r>
                        </w:p>
                        <w:p w:rsidR="00AE3E37" w:rsidRPr="005B3A56" w:rsidRDefault="00920088" w:rsidP="00920088">
                          <w:pPr>
                            <w:pStyle w:val="Header"/>
                            <w:spacing w:line="276" w:lineRule="auto"/>
                            <w:jc w:val="center"/>
                            <w:rPr>
                              <w:rFonts w:ascii="Myriad Pro"/>
                              <w:color w:val="FFFFFF" w:themeColor="background1"/>
                            </w:rPr>
                          </w:pPr>
                          <w:r>
                            <w:t>February</w:t>
                          </w:r>
                          <w:r w:rsidR="00073583">
                            <w:t xml:space="preserve"> 2</w:t>
                          </w:r>
                          <w:r>
                            <w:t>6-28,</w:t>
                          </w:r>
                          <w:r w:rsidR="00073583">
                            <w:t xml:space="preserve"> 201</w:t>
                          </w:r>
                          <w:r>
                            <w:t>8</w:t>
                          </w:r>
                          <w:r w:rsidR="00073583">
                            <w:t xml:space="preserve"> </w:t>
                          </w:r>
                          <w:r>
                            <w:t>London, UK</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920088" w:rsidP="00073583">
                    <w:pPr>
                      <w:pStyle w:val="Header"/>
                      <w:spacing w:line="276" w:lineRule="auto"/>
                      <w:jc w:val="center"/>
                    </w:pPr>
                    <w:r>
                      <w:rPr>
                        <w:lang w:val="en-IN"/>
                      </w:rPr>
                      <w:t>3rd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Public</w:t>
                    </w:r>
                    <w:r w:rsidR="00073583" w:rsidRPr="00294731">
                      <w:t xml:space="preserve"> </w:t>
                    </w:r>
                    <w:r w:rsidR="00073583">
                      <w:t xml:space="preserve">Health </w:t>
                    </w:r>
                    <w:r w:rsidR="00073583" w:rsidRPr="00294731">
                      <w:t xml:space="preserve">and </w:t>
                    </w:r>
                    <w:r w:rsidR="00073583">
                      <w:t>Nutrition</w:t>
                    </w:r>
                  </w:p>
                  <w:p w:rsidR="00AE3E37" w:rsidRPr="005B3A56" w:rsidRDefault="00920088" w:rsidP="00920088">
                    <w:pPr>
                      <w:pStyle w:val="Header"/>
                      <w:spacing w:line="276" w:lineRule="auto"/>
                      <w:jc w:val="center"/>
                      <w:rPr>
                        <w:rFonts w:ascii="Myriad Pro"/>
                        <w:color w:val="FFFFFF" w:themeColor="background1"/>
                      </w:rPr>
                    </w:pPr>
                    <w:r>
                      <w:t>February</w:t>
                    </w:r>
                    <w:r w:rsidR="00073583">
                      <w:t xml:space="preserve"> 2</w:t>
                    </w:r>
                    <w:r>
                      <w:t>6-28,</w:t>
                    </w:r>
                    <w:r w:rsidR="00073583">
                      <w:t xml:space="preserve"> 201</w:t>
                    </w:r>
                    <w:r>
                      <w:t>8</w:t>
                    </w:r>
                    <w:r w:rsidR="00073583">
                      <w:t xml:space="preserve"> </w:t>
                    </w:r>
                    <w:r>
                      <w:t>London, UK</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F3D4B"/>
    <w:multiLevelType w:val="hybridMultilevel"/>
    <w:tmpl w:val="34B6AE10"/>
    <w:lvl w:ilvl="0" w:tplc="391E97F0">
      <w:start w:val="1"/>
      <w:numFmt w:val="decimal"/>
      <w:lvlText w:val="%1."/>
      <w:lvlJc w:val="left"/>
      <w:pPr>
        <w:tabs>
          <w:tab w:val="num" w:pos="630"/>
        </w:tabs>
        <w:ind w:left="630" w:hanging="360"/>
      </w:pPr>
      <w:rPr>
        <w:rFonts w:ascii="Times New Roman" w:hAnsi="Times New Roman" w:cs="Times New Roman" w:hint="default"/>
        <w:b w:val="0"/>
        <w:bCs w:val="0"/>
        <w:i w:val="0"/>
        <w:iCs w:val="0"/>
        <w:sz w:val="12"/>
        <w:szCs w:val="1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7372E"/>
    <w:rsid w:val="000E2911"/>
    <w:rsid w:val="001263DF"/>
    <w:rsid w:val="00175289"/>
    <w:rsid w:val="00235403"/>
    <w:rsid w:val="00280DEC"/>
    <w:rsid w:val="00292ED9"/>
    <w:rsid w:val="002B3F88"/>
    <w:rsid w:val="00391DAC"/>
    <w:rsid w:val="0039220A"/>
    <w:rsid w:val="00404E5B"/>
    <w:rsid w:val="00414F7B"/>
    <w:rsid w:val="004355DC"/>
    <w:rsid w:val="004749B4"/>
    <w:rsid w:val="00494130"/>
    <w:rsid w:val="004F3523"/>
    <w:rsid w:val="00534A8C"/>
    <w:rsid w:val="005973B9"/>
    <w:rsid w:val="005B3A56"/>
    <w:rsid w:val="005D2BCF"/>
    <w:rsid w:val="005E286A"/>
    <w:rsid w:val="006060CE"/>
    <w:rsid w:val="0063497F"/>
    <w:rsid w:val="00653BFE"/>
    <w:rsid w:val="00707902"/>
    <w:rsid w:val="00746D0E"/>
    <w:rsid w:val="0085279D"/>
    <w:rsid w:val="00863679"/>
    <w:rsid w:val="00873DF0"/>
    <w:rsid w:val="008756E6"/>
    <w:rsid w:val="0088131E"/>
    <w:rsid w:val="0090553D"/>
    <w:rsid w:val="00905F5A"/>
    <w:rsid w:val="00912947"/>
    <w:rsid w:val="00920088"/>
    <w:rsid w:val="0094298D"/>
    <w:rsid w:val="009A3311"/>
    <w:rsid w:val="009B2D44"/>
    <w:rsid w:val="00A07E82"/>
    <w:rsid w:val="00A2588A"/>
    <w:rsid w:val="00A9710C"/>
    <w:rsid w:val="00AE3E37"/>
    <w:rsid w:val="00B21A57"/>
    <w:rsid w:val="00BD417A"/>
    <w:rsid w:val="00BF5627"/>
    <w:rsid w:val="00C33602"/>
    <w:rsid w:val="00C87CB6"/>
    <w:rsid w:val="00CB1EAA"/>
    <w:rsid w:val="00CD6F55"/>
    <w:rsid w:val="00CE6BA2"/>
    <w:rsid w:val="00DC3565"/>
    <w:rsid w:val="00DE3104"/>
    <w:rsid w:val="00EC5B48"/>
    <w:rsid w:val="00EC5F8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styleId="Caption">
    <w:name w:val="caption"/>
    <w:basedOn w:val="Normal"/>
    <w:next w:val="Normal"/>
    <w:uiPriority w:val="35"/>
    <w:semiHidden/>
    <w:unhideWhenUsed/>
    <w:qFormat/>
    <w:rsid w:val="00EC5F80"/>
    <w:pPr>
      <w:widowControl/>
      <w:spacing w:after="160"/>
    </w:pPr>
    <w:rPr>
      <w:rFonts w:asciiTheme="minorHAnsi" w:eastAsiaTheme="minorEastAsia" w:hAnsiTheme="minorHAnsi" w:cstheme="minorBidi"/>
      <w:b/>
      <w:bCs/>
      <w:smallCaps/>
      <w:color w:val="1F497D" w:themeColor="text2"/>
    </w:rPr>
  </w:style>
  <w:style w:type="character" w:styleId="Emphasis">
    <w:name w:val="Emphasis"/>
    <w:basedOn w:val="DefaultParagraphFont"/>
    <w:uiPriority w:val="20"/>
    <w:qFormat/>
    <w:rsid w:val="009A3311"/>
    <w:rPr>
      <w:i/>
      <w:iCs/>
    </w:rPr>
  </w:style>
  <w:style w:type="character" w:customStyle="1" w:styleId="current-selection">
    <w:name w:val="current-selection"/>
    <w:basedOn w:val="DefaultParagraphFont"/>
    <w:rsid w:val="009A33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styleId="Caption">
    <w:name w:val="caption"/>
    <w:basedOn w:val="Normal"/>
    <w:next w:val="Normal"/>
    <w:uiPriority w:val="35"/>
    <w:semiHidden/>
    <w:unhideWhenUsed/>
    <w:qFormat/>
    <w:rsid w:val="00EC5F80"/>
    <w:pPr>
      <w:widowControl/>
      <w:spacing w:after="160"/>
    </w:pPr>
    <w:rPr>
      <w:rFonts w:asciiTheme="minorHAnsi" w:eastAsiaTheme="minorEastAsia" w:hAnsiTheme="minorHAnsi" w:cstheme="minorBidi"/>
      <w:b/>
      <w:bCs/>
      <w:smallCaps/>
      <w:color w:val="1F497D" w:themeColor="text2"/>
    </w:rPr>
  </w:style>
  <w:style w:type="character" w:styleId="Emphasis">
    <w:name w:val="Emphasis"/>
    <w:basedOn w:val="DefaultParagraphFont"/>
    <w:uiPriority w:val="20"/>
    <w:qFormat/>
    <w:rsid w:val="009A3311"/>
    <w:rPr>
      <w:i/>
      <w:iCs/>
    </w:rPr>
  </w:style>
  <w:style w:type="character" w:customStyle="1" w:styleId="current-selection">
    <w:name w:val="current-selection"/>
    <w:basedOn w:val="DefaultParagraphFont"/>
    <w:rsid w:val="009A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93286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391125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6934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aha_hoteit@hot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hoteit@ul.edu.l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L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never</c:v>
                </c:pt>
              </c:strCache>
            </c:strRef>
          </c:tx>
          <c:spPr>
            <a:solidFill>
              <a:schemeClr val="tx1">
                <a:lumMod val="75000"/>
                <a:lumOff val="25000"/>
              </a:schemeClr>
            </a:solidFill>
            <a:ln>
              <a:noFill/>
            </a:ln>
            <a:effectLst/>
          </c:spPr>
          <c:invertIfNegative val="0"/>
          <c:cat>
            <c:strRef>
              <c:f>Sheet1!$A$3:$A$34</c:f>
              <c:strCache>
                <c:ptCount val="28"/>
                <c:pt idx="0">
                  <c:v>child eats vegetables.</c:v>
                </c:pt>
                <c:pt idx="1">
                  <c:v>child eats starches( for example potato , noodles).</c:v>
                </c:pt>
                <c:pt idx="2">
                  <c:v>child eats meat and/or fish.</c:v>
                </c:pt>
                <c:pt idx="3">
                  <c:v>child enjoys eating.</c:v>
                </c:pt>
                <c:pt idx="4">
                  <c:v>child will try new foods.</c:v>
                </c:pt>
                <c:pt idx="6">
                  <c:v>child tries to negotiate what s/he will eat and what s/he will not eat.</c:v>
                </c:pt>
                <c:pt idx="7">
                  <c:v>child refuses to eat meals but requests food immediately after the meal.</c:v>
                </c:pt>
                <c:pt idx="8">
                  <c:v>child would rather drink than eat.</c:v>
                </c:pt>
                <c:pt idx="9">
                  <c:v>child delays eating by talking.</c:v>
                </c:pt>
                <c:pt idx="10">
                  <c:v>child has a poor appetite</c:v>
                </c:pt>
                <c:pt idx="11">
                  <c:v>child tantrums at mealtimes.</c:v>
                </c:pt>
                <c:pt idx="12">
                  <c:v>child whines or cries at feeding time.</c:v>
                </c:pt>
                <c:pt idx="13">
                  <c:v>child gets up from table during mealtime.</c:v>
                </c:pt>
                <c:pt idx="14">
                  <c:v>child eats junky snack food but will not eat at mealtime.</c:v>
                </c:pt>
                <c:pt idx="15">
                  <c:v>child comes readily to mealtime.</c:v>
                </c:pt>
                <c:pt idx="16">
                  <c:v>child enjoys eating.</c:v>
                </c:pt>
                <c:pt idx="18">
                  <c:v>child lets food sit in his/her mouth and does not swallow it.</c:v>
                </c:pt>
                <c:pt idx="19">
                  <c:v>child has a poor appetite</c:v>
                </c:pt>
                <c:pt idx="20">
                  <c:v>child spits out food.</c:v>
                </c:pt>
                <c:pt idx="21">
                  <c:v>child enjoys eating.</c:v>
                </c:pt>
                <c:pt idx="22">
                  <c:v>child chokes or gags at mealtime .</c:v>
                </c:pt>
                <c:pt idx="23">
                  <c:v>child takes longer than 20 minutes to finish a meal</c:v>
                </c:pt>
                <c:pt idx="24">
                  <c:v>child has required supplemental tube feeds to maintain proper nutritional status</c:v>
                </c:pt>
                <c:pt idx="25">
                  <c:v>child drinks milk</c:v>
                </c:pt>
                <c:pt idx="26">
                  <c:v>child vomits just before,at , or just after mealtime.</c:v>
                </c:pt>
                <c:pt idx="27">
                  <c:v>child eats only ground , strained or soft food.</c:v>
                </c:pt>
              </c:strCache>
            </c:strRef>
          </c:cat>
          <c:val>
            <c:numRef>
              <c:f>Sheet1!$B$3:$B$34</c:f>
              <c:numCache>
                <c:formatCode>General</c:formatCode>
                <c:ptCount val="32"/>
                <c:pt idx="0">
                  <c:v>30.2</c:v>
                </c:pt>
                <c:pt idx="1">
                  <c:v>7</c:v>
                </c:pt>
                <c:pt idx="2">
                  <c:v>11.6</c:v>
                </c:pt>
                <c:pt idx="3">
                  <c:v>4.7</c:v>
                </c:pt>
                <c:pt idx="4">
                  <c:v>20.9</c:v>
                </c:pt>
                <c:pt idx="6">
                  <c:v>55.8</c:v>
                </c:pt>
                <c:pt idx="7">
                  <c:v>72.099999999999994</c:v>
                </c:pt>
                <c:pt idx="8">
                  <c:v>39.5</c:v>
                </c:pt>
                <c:pt idx="9">
                  <c:v>79.099999999999994</c:v>
                </c:pt>
                <c:pt idx="10">
                  <c:v>37.200000000000003</c:v>
                </c:pt>
                <c:pt idx="11">
                  <c:v>41.9</c:v>
                </c:pt>
                <c:pt idx="12">
                  <c:v>67.400000000000006</c:v>
                </c:pt>
                <c:pt idx="13">
                  <c:v>20.9</c:v>
                </c:pt>
                <c:pt idx="14">
                  <c:v>39.5</c:v>
                </c:pt>
                <c:pt idx="15">
                  <c:v>7</c:v>
                </c:pt>
                <c:pt idx="16">
                  <c:v>4.7</c:v>
                </c:pt>
                <c:pt idx="18">
                  <c:v>74.400000000000006</c:v>
                </c:pt>
                <c:pt idx="19">
                  <c:v>37.200000000000003</c:v>
                </c:pt>
                <c:pt idx="20">
                  <c:v>46.5</c:v>
                </c:pt>
                <c:pt idx="21">
                  <c:v>4.7</c:v>
                </c:pt>
                <c:pt idx="22">
                  <c:v>72.099999999999994</c:v>
                </c:pt>
                <c:pt idx="23">
                  <c:v>23.3</c:v>
                </c:pt>
                <c:pt idx="24">
                  <c:v>97.7</c:v>
                </c:pt>
                <c:pt idx="25">
                  <c:v>44.2</c:v>
                </c:pt>
                <c:pt idx="26">
                  <c:v>83.7</c:v>
                </c:pt>
                <c:pt idx="27">
                  <c:v>58</c:v>
                </c:pt>
              </c:numCache>
            </c:numRef>
          </c:val>
        </c:ser>
        <c:ser>
          <c:idx val="1"/>
          <c:order val="1"/>
          <c:tx>
            <c:strRef>
              <c:f>Sheet1!$C$1</c:f>
              <c:strCache>
                <c:ptCount val="1"/>
                <c:pt idx="0">
                  <c:v>sometimes</c:v>
                </c:pt>
              </c:strCache>
            </c:strRef>
          </c:tx>
          <c:spPr>
            <a:solidFill>
              <a:schemeClr val="tx1">
                <a:lumMod val="50000"/>
                <a:lumOff val="50000"/>
              </a:schemeClr>
            </a:solidFill>
            <a:ln>
              <a:noFill/>
            </a:ln>
            <a:effectLst/>
          </c:spPr>
          <c:invertIfNegative val="0"/>
          <c:cat>
            <c:strRef>
              <c:f>Sheet1!$A$3:$A$34</c:f>
              <c:strCache>
                <c:ptCount val="28"/>
                <c:pt idx="0">
                  <c:v>child eats vegetables.</c:v>
                </c:pt>
                <c:pt idx="1">
                  <c:v>child eats starches( for example potato , noodles).</c:v>
                </c:pt>
                <c:pt idx="2">
                  <c:v>child eats meat and/or fish.</c:v>
                </c:pt>
                <c:pt idx="3">
                  <c:v>child enjoys eating.</c:v>
                </c:pt>
                <c:pt idx="4">
                  <c:v>child will try new foods.</c:v>
                </c:pt>
                <c:pt idx="6">
                  <c:v>child tries to negotiate what s/he will eat and what s/he will not eat.</c:v>
                </c:pt>
                <c:pt idx="7">
                  <c:v>child refuses to eat meals but requests food immediately after the meal.</c:v>
                </c:pt>
                <c:pt idx="8">
                  <c:v>child would rather drink than eat.</c:v>
                </c:pt>
                <c:pt idx="9">
                  <c:v>child delays eating by talking.</c:v>
                </c:pt>
                <c:pt idx="10">
                  <c:v>child has a poor appetite</c:v>
                </c:pt>
                <c:pt idx="11">
                  <c:v>child tantrums at mealtimes.</c:v>
                </c:pt>
                <c:pt idx="12">
                  <c:v>child whines or cries at feeding time.</c:v>
                </c:pt>
                <c:pt idx="13">
                  <c:v>child gets up from table during mealtime.</c:v>
                </c:pt>
                <c:pt idx="14">
                  <c:v>child eats junky snack food but will not eat at mealtime.</c:v>
                </c:pt>
                <c:pt idx="15">
                  <c:v>child comes readily to mealtime.</c:v>
                </c:pt>
                <c:pt idx="16">
                  <c:v>child enjoys eating.</c:v>
                </c:pt>
                <c:pt idx="18">
                  <c:v>child lets food sit in his/her mouth and does not swallow it.</c:v>
                </c:pt>
                <c:pt idx="19">
                  <c:v>child has a poor appetite</c:v>
                </c:pt>
                <c:pt idx="20">
                  <c:v>child spits out food.</c:v>
                </c:pt>
                <c:pt idx="21">
                  <c:v>child enjoys eating.</c:v>
                </c:pt>
                <c:pt idx="22">
                  <c:v>child chokes or gags at mealtime .</c:v>
                </c:pt>
                <c:pt idx="23">
                  <c:v>child takes longer than 20 minutes to finish a meal</c:v>
                </c:pt>
                <c:pt idx="24">
                  <c:v>child has required supplemental tube feeds to maintain proper nutritional status</c:v>
                </c:pt>
                <c:pt idx="25">
                  <c:v>child drinks milk</c:v>
                </c:pt>
                <c:pt idx="26">
                  <c:v>child vomits just before,at , or just after mealtime.</c:v>
                </c:pt>
                <c:pt idx="27">
                  <c:v>child eats only ground , strained or soft food.</c:v>
                </c:pt>
              </c:strCache>
            </c:strRef>
          </c:cat>
          <c:val>
            <c:numRef>
              <c:f>Sheet1!$C$3:$C$34</c:f>
              <c:numCache>
                <c:formatCode>General</c:formatCode>
                <c:ptCount val="32"/>
                <c:pt idx="0">
                  <c:v>39.6</c:v>
                </c:pt>
                <c:pt idx="1">
                  <c:v>39.5</c:v>
                </c:pt>
                <c:pt idx="2">
                  <c:v>44.2</c:v>
                </c:pt>
                <c:pt idx="3">
                  <c:v>55.8</c:v>
                </c:pt>
                <c:pt idx="4">
                  <c:v>62.8</c:v>
                </c:pt>
                <c:pt idx="6">
                  <c:v>34.9</c:v>
                </c:pt>
                <c:pt idx="7">
                  <c:v>23.2</c:v>
                </c:pt>
                <c:pt idx="8">
                  <c:v>46.5</c:v>
                </c:pt>
                <c:pt idx="9">
                  <c:v>18.600000000000001</c:v>
                </c:pt>
                <c:pt idx="10">
                  <c:v>51.2</c:v>
                </c:pt>
                <c:pt idx="11">
                  <c:v>53.4</c:v>
                </c:pt>
                <c:pt idx="12">
                  <c:v>32.6</c:v>
                </c:pt>
                <c:pt idx="13">
                  <c:v>46.5</c:v>
                </c:pt>
                <c:pt idx="14">
                  <c:v>55.8</c:v>
                </c:pt>
                <c:pt idx="15">
                  <c:v>46.5</c:v>
                </c:pt>
                <c:pt idx="16">
                  <c:v>55.8</c:v>
                </c:pt>
                <c:pt idx="18">
                  <c:v>25.6</c:v>
                </c:pt>
                <c:pt idx="19">
                  <c:v>51.2</c:v>
                </c:pt>
                <c:pt idx="20">
                  <c:v>51.2</c:v>
                </c:pt>
                <c:pt idx="21">
                  <c:v>55.8</c:v>
                </c:pt>
                <c:pt idx="22">
                  <c:v>23.2</c:v>
                </c:pt>
                <c:pt idx="23">
                  <c:v>67.400000000000006</c:v>
                </c:pt>
                <c:pt idx="24">
                  <c:v>2.2999999999999998</c:v>
                </c:pt>
                <c:pt idx="25">
                  <c:v>27.9</c:v>
                </c:pt>
                <c:pt idx="26">
                  <c:v>11.6</c:v>
                </c:pt>
                <c:pt idx="27">
                  <c:v>32.700000000000003</c:v>
                </c:pt>
              </c:numCache>
            </c:numRef>
          </c:val>
        </c:ser>
        <c:ser>
          <c:idx val="2"/>
          <c:order val="2"/>
          <c:tx>
            <c:strRef>
              <c:f>Sheet1!$D$1</c:f>
              <c:strCache>
                <c:ptCount val="1"/>
                <c:pt idx="0">
                  <c:v>always</c:v>
                </c:pt>
              </c:strCache>
            </c:strRef>
          </c:tx>
          <c:spPr>
            <a:solidFill>
              <a:schemeClr val="bg2">
                <a:lumMod val="90000"/>
              </a:schemeClr>
            </a:solidFill>
            <a:ln>
              <a:noFill/>
            </a:ln>
            <a:effectLst/>
          </c:spPr>
          <c:invertIfNegative val="0"/>
          <c:cat>
            <c:strRef>
              <c:f>Sheet1!$A$3:$A$34</c:f>
              <c:strCache>
                <c:ptCount val="28"/>
                <c:pt idx="0">
                  <c:v>child eats vegetables.</c:v>
                </c:pt>
                <c:pt idx="1">
                  <c:v>child eats starches( for example potato , noodles).</c:v>
                </c:pt>
                <c:pt idx="2">
                  <c:v>child eats meat and/or fish.</c:v>
                </c:pt>
                <c:pt idx="3">
                  <c:v>child enjoys eating.</c:v>
                </c:pt>
                <c:pt idx="4">
                  <c:v>child will try new foods.</c:v>
                </c:pt>
                <c:pt idx="6">
                  <c:v>child tries to negotiate what s/he will eat and what s/he will not eat.</c:v>
                </c:pt>
                <c:pt idx="7">
                  <c:v>child refuses to eat meals but requests food immediately after the meal.</c:v>
                </c:pt>
                <c:pt idx="8">
                  <c:v>child would rather drink than eat.</c:v>
                </c:pt>
                <c:pt idx="9">
                  <c:v>child delays eating by talking.</c:v>
                </c:pt>
                <c:pt idx="10">
                  <c:v>child has a poor appetite</c:v>
                </c:pt>
                <c:pt idx="11">
                  <c:v>child tantrums at mealtimes.</c:v>
                </c:pt>
                <c:pt idx="12">
                  <c:v>child whines or cries at feeding time.</c:v>
                </c:pt>
                <c:pt idx="13">
                  <c:v>child gets up from table during mealtime.</c:v>
                </c:pt>
                <c:pt idx="14">
                  <c:v>child eats junky snack food but will not eat at mealtime.</c:v>
                </c:pt>
                <c:pt idx="15">
                  <c:v>child comes readily to mealtime.</c:v>
                </c:pt>
                <c:pt idx="16">
                  <c:v>child enjoys eating.</c:v>
                </c:pt>
                <c:pt idx="18">
                  <c:v>child lets food sit in his/her mouth and does not swallow it.</c:v>
                </c:pt>
                <c:pt idx="19">
                  <c:v>child has a poor appetite</c:v>
                </c:pt>
                <c:pt idx="20">
                  <c:v>child spits out food.</c:v>
                </c:pt>
                <c:pt idx="21">
                  <c:v>child enjoys eating.</c:v>
                </c:pt>
                <c:pt idx="22">
                  <c:v>child chokes or gags at mealtime .</c:v>
                </c:pt>
                <c:pt idx="23">
                  <c:v>child takes longer than 20 minutes to finish a meal</c:v>
                </c:pt>
                <c:pt idx="24">
                  <c:v>child has required supplemental tube feeds to maintain proper nutritional status</c:v>
                </c:pt>
                <c:pt idx="25">
                  <c:v>child drinks milk</c:v>
                </c:pt>
                <c:pt idx="26">
                  <c:v>child vomits just before,at , or just after mealtime.</c:v>
                </c:pt>
                <c:pt idx="27">
                  <c:v>child eats only ground , strained or soft food.</c:v>
                </c:pt>
              </c:strCache>
            </c:strRef>
          </c:cat>
          <c:val>
            <c:numRef>
              <c:f>Sheet1!$D$3:$D$34</c:f>
              <c:numCache>
                <c:formatCode>General</c:formatCode>
                <c:ptCount val="32"/>
                <c:pt idx="0">
                  <c:v>30.2</c:v>
                </c:pt>
                <c:pt idx="1">
                  <c:v>53.5</c:v>
                </c:pt>
                <c:pt idx="2">
                  <c:v>44.2</c:v>
                </c:pt>
                <c:pt idx="3">
                  <c:v>39.5</c:v>
                </c:pt>
                <c:pt idx="4">
                  <c:v>16.3</c:v>
                </c:pt>
                <c:pt idx="6">
                  <c:v>9.3000000000000007</c:v>
                </c:pt>
                <c:pt idx="7">
                  <c:v>4.7</c:v>
                </c:pt>
                <c:pt idx="8">
                  <c:v>14</c:v>
                </c:pt>
                <c:pt idx="9">
                  <c:v>2.2999999999999998</c:v>
                </c:pt>
                <c:pt idx="10">
                  <c:v>11.6</c:v>
                </c:pt>
                <c:pt idx="11">
                  <c:v>4.7</c:v>
                </c:pt>
                <c:pt idx="12">
                  <c:v>0</c:v>
                </c:pt>
                <c:pt idx="13">
                  <c:v>32.6</c:v>
                </c:pt>
                <c:pt idx="14">
                  <c:v>4.7</c:v>
                </c:pt>
                <c:pt idx="15">
                  <c:v>46.5</c:v>
                </c:pt>
                <c:pt idx="16">
                  <c:v>39.5</c:v>
                </c:pt>
                <c:pt idx="18">
                  <c:v>0</c:v>
                </c:pt>
                <c:pt idx="19">
                  <c:v>11.6</c:v>
                </c:pt>
                <c:pt idx="20">
                  <c:v>2.2999999999999998</c:v>
                </c:pt>
                <c:pt idx="21">
                  <c:v>39.5</c:v>
                </c:pt>
                <c:pt idx="22">
                  <c:v>4.7</c:v>
                </c:pt>
                <c:pt idx="23">
                  <c:v>9.3000000000000007</c:v>
                </c:pt>
                <c:pt idx="24">
                  <c:v>0</c:v>
                </c:pt>
                <c:pt idx="25">
                  <c:v>27.9</c:v>
                </c:pt>
                <c:pt idx="26">
                  <c:v>4.7</c:v>
                </c:pt>
                <c:pt idx="27">
                  <c:v>9.3000000000000007</c:v>
                </c:pt>
              </c:numCache>
            </c:numRef>
          </c:val>
        </c:ser>
        <c:ser>
          <c:idx val="3"/>
          <c:order val="3"/>
          <c:tx>
            <c:strRef>
              <c:f>Sheet1!$E$1</c:f>
              <c:strCache>
                <c:ptCount val="1"/>
                <c:pt idx="0">
                  <c:v>considered problem for parents</c:v>
                </c:pt>
              </c:strCache>
            </c:strRef>
          </c:tx>
          <c:spPr>
            <a:solidFill>
              <a:schemeClr val="tx1"/>
            </a:solidFill>
            <a:ln>
              <a:noFill/>
            </a:ln>
            <a:effectLst/>
          </c:spPr>
          <c:invertIfNegative val="0"/>
          <c:cat>
            <c:strRef>
              <c:f>Sheet1!$A$3:$A$34</c:f>
              <c:strCache>
                <c:ptCount val="28"/>
                <c:pt idx="0">
                  <c:v>child eats vegetables.</c:v>
                </c:pt>
                <c:pt idx="1">
                  <c:v>child eats starches( for example potato , noodles).</c:v>
                </c:pt>
                <c:pt idx="2">
                  <c:v>child eats meat and/or fish.</c:v>
                </c:pt>
                <c:pt idx="3">
                  <c:v>child enjoys eating.</c:v>
                </c:pt>
                <c:pt idx="4">
                  <c:v>child will try new foods.</c:v>
                </c:pt>
                <c:pt idx="6">
                  <c:v>child tries to negotiate what s/he will eat and what s/he will not eat.</c:v>
                </c:pt>
                <c:pt idx="7">
                  <c:v>child refuses to eat meals but requests food immediately after the meal.</c:v>
                </c:pt>
                <c:pt idx="8">
                  <c:v>child would rather drink than eat.</c:v>
                </c:pt>
                <c:pt idx="9">
                  <c:v>child delays eating by talking.</c:v>
                </c:pt>
                <c:pt idx="10">
                  <c:v>child has a poor appetite</c:v>
                </c:pt>
                <c:pt idx="11">
                  <c:v>child tantrums at mealtimes.</c:v>
                </c:pt>
                <c:pt idx="12">
                  <c:v>child whines or cries at feeding time.</c:v>
                </c:pt>
                <c:pt idx="13">
                  <c:v>child gets up from table during mealtime.</c:v>
                </c:pt>
                <c:pt idx="14">
                  <c:v>child eats junky snack food but will not eat at mealtime.</c:v>
                </c:pt>
                <c:pt idx="15">
                  <c:v>child comes readily to mealtime.</c:v>
                </c:pt>
                <c:pt idx="16">
                  <c:v>child enjoys eating.</c:v>
                </c:pt>
                <c:pt idx="18">
                  <c:v>child lets food sit in his/her mouth and does not swallow it.</c:v>
                </c:pt>
                <c:pt idx="19">
                  <c:v>child has a poor appetite</c:v>
                </c:pt>
                <c:pt idx="20">
                  <c:v>child spits out food.</c:v>
                </c:pt>
                <c:pt idx="21">
                  <c:v>child enjoys eating.</c:v>
                </c:pt>
                <c:pt idx="22">
                  <c:v>child chokes or gags at mealtime .</c:v>
                </c:pt>
                <c:pt idx="23">
                  <c:v>child takes longer than 20 minutes to finish a meal</c:v>
                </c:pt>
                <c:pt idx="24">
                  <c:v>child has required supplemental tube feeds to maintain proper nutritional status</c:v>
                </c:pt>
                <c:pt idx="25">
                  <c:v>child drinks milk</c:v>
                </c:pt>
                <c:pt idx="26">
                  <c:v>child vomits just before,at , or just after mealtime.</c:v>
                </c:pt>
                <c:pt idx="27">
                  <c:v>child eats only ground , strained or soft food.</c:v>
                </c:pt>
              </c:strCache>
            </c:strRef>
          </c:cat>
          <c:val>
            <c:numRef>
              <c:f>Sheet1!$E$3:$E$34</c:f>
              <c:numCache>
                <c:formatCode>General</c:formatCode>
                <c:ptCount val="32"/>
                <c:pt idx="0">
                  <c:v>46.5</c:v>
                </c:pt>
                <c:pt idx="1">
                  <c:v>32.6</c:v>
                </c:pt>
                <c:pt idx="2">
                  <c:v>41.9</c:v>
                </c:pt>
                <c:pt idx="3">
                  <c:v>27.9</c:v>
                </c:pt>
                <c:pt idx="4">
                  <c:v>53.5</c:v>
                </c:pt>
                <c:pt idx="6">
                  <c:v>23.3</c:v>
                </c:pt>
                <c:pt idx="7">
                  <c:v>18.600000000000001</c:v>
                </c:pt>
                <c:pt idx="8">
                  <c:v>30.2</c:v>
                </c:pt>
                <c:pt idx="9">
                  <c:v>18.600000000000001</c:v>
                </c:pt>
                <c:pt idx="10">
                  <c:v>34.9</c:v>
                </c:pt>
                <c:pt idx="11">
                  <c:v>41.9</c:v>
                </c:pt>
                <c:pt idx="12">
                  <c:v>16.3</c:v>
                </c:pt>
                <c:pt idx="13">
                  <c:v>55.8</c:v>
                </c:pt>
                <c:pt idx="14">
                  <c:v>32.6</c:v>
                </c:pt>
                <c:pt idx="15">
                  <c:v>30.2</c:v>
                </c:pt>
                <c:pt idx="16">
                  <c:v>27.9</c:v>
                </c:pt>
                <c:pt idx="18">
                  <c:v>11.6</c:v>
                </c:pt>
                <c:pt idx="19">
                  <c:v>34.9</c:v>
                </c:pt>
                <c:pt idx="20">
                  <c:v>27.9</c:v>
                </c:pt>
                <c:pt idx="21">
                  <c:v>27.9</c:v>
                </c:pt>
                <c:pt idx="22">
                  <c:v>18.600000000000001</c:v>
                </c:pt>
                <c:pt idx="23">
                  <c:v>23.3</c:v>
                </c:pt>
                <c:pt idx="24">
                  <c:v>7</c:v>
                </c:pt>
                <c:pt idx="25">
                  <c:v>18.600000000000001</c:v>
                </c:pt>
                <c:pt idx="26">
                  <c:v>7</c:v>
                </c:pt>
                <c:pt idx="27">
                  <c:v>14</c:v>
                </c:pt>
              </c:numCache>
            </c:numRef>
          </c:val>
        </c:ser>
        <c:ser>
          <c:idx val="4"/>
          <c:order val="4"/>
          <c:tx>
            <c:strRef>
              <c:f>Sheet1!$F$1</c:f>
              <c:strCache>
                <c:ptCount val="1"/>
                <c:pt idx="0">
                  <c:v>Column1</c:v>
                </c:pt>
              </c:strCache>
            </c:strRef>
          </c:tx>
          <c:spPr>
            <a:solidFill>
              <a:schemeClr val="accent5"/>
            </a:solidFill>
            <a:ln>
              <a:noFill/>
            </a:ln>
            <a:effectLst/>
          </c:spPr>
          <c:invertIfNegative val="0"/>
          <c:cat>
            <c:strRef>
              <c:f>Sheet1!$A$3:$A$34</c:f>
              <c:strCache>
                <c:ptCount val="28"/>
                <c:pt idx="0">
                  <c:v>child eats vegetables.</c:v>
                </c:pt>
                <c:pt idx="1">
                  <c:v>child eats starches( for example potato , noodles).</c:v>
                </c:pt>
                <c:pt idx="2">
                  <c:v>child eats meat and/or fish.</c:v>
                </c:pt>
                <c:pt idx="3">
                  <c:v>child enjoys eating.</c:v>
                </c:pt>
                <c:pt idx="4">
                  <c:v>child will try new foods.</c:v>
                </c:pt>
                <c:pt idx="6">
                  <c:v>child tries to negotiate what s/he will eat and what s/he will not eat.</c:v>
                </c:pt>
                <c:pt idx="7">
                  <c:v>child refuses to eat meals but requests food immediately after the meal.</c:v>
                </c:pt>
                <c:pt idx="8">
                  <c:v>child would rather drink than eat.</c:v>
                </c:pt>
                <c:pt idx="9">
                  <c:v>child delays eating by talking.</c:v>
                </c:pt>
                <c:pt idx="10">
                  <c:v>child has a poor appetite</c:v>
                </c:pt>
                <c:pt idx="11">
                  <c:v>child tantrums at mealtimes.</c:v>
                </c:pt>
                <c:pt idx="12">
                  <c:v>child whines or cries at feeding time.</c:v>
                </c:pt>
                <c:pt idx="13">
                  <c:v>child gets up from table during mealtime.</c:v>
                </c:pt>
                <c:pt idx="14">
                  <c:v>child eats junky snack food but will not eat at mealtime.</c:v>
                </c:pt>
                <c:pt idx="15">
                  <c:v>child comes readily to mealtime.</c:v>
                </c:pt>
                <c:pt idx="16">
                  <c:v>child enjoys eating.</c:v>
                </c:pt>
                <c:pt idx="18">
                  <c:v>child lets food sit in his/her mouth and does not swallow it.</c:v>
                </c:pt>
                <c:pt idx="19">
                  <c:v>child has a poor appetite</c:v>
                </c:pt>
                <c:pt idx="20">
                  <c:v>child spits out food.</c:v>
                </c:pt>
                <c:pt idx="21">
                  <c:v>child enjoys eating.</c:v>
                </c:pt>
                <c:pt idx="22">
                  <c:v>child chokes or gags at mealtime .</c:v>
                </c:pt>
                <c:pt idx="23">
                  <c:v>child takes longer than 20 minutes to finish a meal</c:v>
                </c:pt>
                <c:pt idx="24">
                  <c:v>child has required supplemental tube feeds to maintain proper nutritional status</c:v>
                </c:pt>
                <c:pt idx="25">
                  <c:v>child drinks milk</c:v>
                </c:pt>
                <c:pt idx="26">
                  <c:v>child vomits just before,at , or just after mealtime.</c:v>
                </c:pt>
                <c:pt idx="27">
                  <c:v>child eats only ground , strained or soft food.</c:v>
                </c:pt>
              </c:strCache>
            </c:strRef>
          </c:cat>
          <c:val>
            <c:numRef>
              <c:f>Sheet1!$F$3:$F$34</c:f>
              <c:numCache>
                <c:formatCode>General</c:formatCode>
                <c:ptCount val="32"/>
              </c:numCache>
            </c:numRef>
          </c:val>
        </c:ser>
        <c:dLbls>
          <c:showLegendKey val="0"/>
          <c:showVal val="0"/>
          <c:showCatName val="0"/>
          <c:showSerName val="0"/>
          <c:showPercent val="0"/>
          <c:showBubbleSize val="0"/>
        </c:dLbls>
        <c:gapWidth val="219"/>
        <c:overlap val="-27"/>
        <c:axId val="166114816"/>
        <c:axId val="168554880"/>
      </c:barChart>
      <c:catAx>
        <c:axId val="16611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a:lstStyle/>
          <a:p>
            <a:pPr>
              <a:defRPr/>
            </a:pPr>
            <a:endParaRPr lang="ar-LB"/>
          </a:p>
        </c:txPr>
        <c:crossAx val="168554880"/>
        <c:crosses val="autoZero"/>
        <c:auto val="1"/>
        <c:lblAlgn val="ctr"/>
        <c:lblOffset val="100"/>
        <c:noMultiLvlLbl val="0"/>
      </c:catAx>
      <c:valAx>
        <c:axId val="168554880"/>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high"/>
        <c:spPr>
          <a:noFill/>
          <a:ln>
            <a:noFill/>
          </a:ln>
          <a:effectLst/>
        </c:spPr>
        <c:txPr>
          <a:bodyPr rot="-5400000"/>
          <a:lstStyle/>
          <a:p>
            <a:pPr>
              <a:defRPr/>
            </a:pPr>
            <a:endParaRPr lang="ar-LB"/>
          </a:p>
        </c:txPr>
        <c:crossAx val="166114816"/>
        <c:crossesAt val="1"/>
        <c:crossBetween val="between"/>
      </c:valAx>
      <c:spPr>
        <a:noFill/>
        <a:ln>
          <a:noFill/>
        </a:ln>
        <a:effectLst/>
      </c:spPr>
    </c:plotArea>
    <c:legend>
      <c:legendPos val="b"/>
      <c:legendEntry>
        <c:idx val="4"/>
        <c:delete val="1"/>
      </c:legendEntry>
      <c:overlay val="0"/>
      <c:spPr>
        <a:noFill/>
        <a:ln>
          <a:noFill/>
        </a:ln>
        <a:effectLst/>
      </c:spPr>
      <c:txPr>
        <a:bodyPr rot="0" vert="horz"/>
        <a:lstStyle/>
        <a:p>
          <a:pPr>
            <a:defRPr/>
          </a:pPr>
          <a:endParaRPr lang="ar-LB"/>
        </a:p>
      </c:txPr>
    </c:legend>
    <c:plotVisOnly val="1"/>
    <c:dispBlanksAs val="gap"/>
    <c:showDLblsOverMax val="0"/>
  </c:chart>
  <c:spPr>
    <a:solidFill>
      <a:schemeClr val="bg1"/>
    </a:solidFill>
    <a:ln w="9525" cap="flat" cmpd="sng" algn="ctr">
      <a:noFill/>
      <a:round/>
    </a:ln>
    <a:effectLst/>
  </c:spPr>
  <c:txPr>
    <a:bodyPr/>
    <a:lstStyle/>
    <a:p>
      <a:pPr>
        <a:defRPr sz="600"/>
      </a:pPr>
      <a:endParaRPr lang="ar-LB"/>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toshiba</cp:lastModifiedBy>
  <cp:revision>3</cp:revision>
  <dcterms:created xsi:type="dcterms:W3CDTF">2017-07-23T19:07:00Z</dcterms:created>
  <dcterms:modified xsi:type="dcterms:W3CDTF">2017-07-23T19:08:00Z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