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Presenter: Wamimbi Florence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Title: poverty leading to poor health and and HIV/Aids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Country Uganda East AFrica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Email: rcco4@yahoo.com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Abstract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Background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study tested the hypothesis that community-level control of sexually transmitted disease (STD) would result in lower incidence of HIV-1 infection in comparison with control communities.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Methods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This randomised, controlled, single-masked, community-based trial of intensive STD control, via home-based mass antibiotic treatment, took place in Rakai District, Uganda. Ten community clusters were randomly assigned to intervention or control groups. All consenting residents aged 15–59 years were enrolled; visited in the home every 10 months; interviewed; asked to provide biological samples for assessment of HIV-1 infection and STDs; and were provided with mass treatment (azithromycin, ciprofloxacin, metronidazole in the intervention group, vitamins/anthelmintic drug in the control). Intention-to-treat analyses used multivariate, paired, cluster-adjusted rate ratios.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Findings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baseline prevalence of HIV-1 infection was 15·9%. 6602 HIV-1-negative individuals were enrolled in the intervention group and 6124 in the control group. 75·0% of intervention-group and 72·6% of control-group participants provided at least one follow-up sample for HIV-1 testing. At enrolment, the two treatment groups were similar in STD prevalence rates. At 20-month follow-up, the prevalences of syphilis (352/6238 [5·6%) vs 359/5284 [6·8%]; rate ratio 0·80 [95% Cl 0·71–0·89]) and trichomoniasis (182/1968 [9·3%] vs 261/1815 [14·4%]; rate ratio 0·59 [0·38–0·91]) were significantly lower in the intervention group than in the control group. The incidence of HIV-1 infection was 1·5 per 100 person-years in both groups (rate ratio 0·97 [0·81-1·16]). In pregnant women, the follow-up prevalences of trichomoniasis, bacterial vaginosis, gonorrhoea, and chlamydia infection were significantly lower in the intervention group than in the control group. No effect of the intervention on incidence of HIV-1 infection was observed in pregnant women or in stratified analyses.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Interpretation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 observed no effect of the STD intervention on the incidence of HIV-1 infection. In the Rakai population, a substantial proportion of HIV-1 acquisition appears to occur independently of treatable STD cofactors.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