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Overcoming Trauma Through Community Support and Therapy: A Survivor's Journey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Trauma effects many people in many ways.  It can be through physical or sexual abuse, natural disasters (earthquake, flood, hurricane, etc), kidnapping, rape, shootings, death, etc.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60% of adults in the U.S. report experiencing abuse or some other form of family trauma during childhood.  4 out of every 10 children say they have experienced a physical assault within the past year.  One in 10 of those resulted in a physical related injury.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 my speech, I plan on spending five minutes addressing the impact that physical and emotional abuse had on me as a child.  I will mention two specific incidents of verbal and emotional abuse.  I will touch on feeling extreme sadness as a result and how even as far back as third grade I experienced intense thoughts of suicide ideation.  I will also touch on the interests I had as a child and how the trauma led me to lose interest in my normal activities.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After explaining the impact trauma had on my life, I will spend five minutes detailing what did not work for me when I decided to seek treatment.  I will mention being misdiagnosed with clinical depression and Borderline Personality Disorder.  I will touch on the 15 years I spent on medication, a few specific examples of the trauma of being hospitalized and how lost I was for 15 years.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 will then spend five minutes describing what worked for me.  I will explain how through two therapies, Dialectic Behavior Therapy and Cognitive Behavior Therapy and through the support of my peers I was able to learn coping techniques and go off of my medications.  I will use specific examples from each therapy and how connecting with others with lived experience gave me that sense of acceptance and community.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 will spend the final five minutes addressing what my life is like now.  I will share about the work I do as a Program Manager at Heart &amp; Soul.  I will share examples of success we have had in the community.  Specific examples such as isolated people becoming social, people with no direction deciding to go to school and seek a degree, people becoming gainfully employed.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 will use the final five to 10 minutes for questions and answers.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