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2237BE" w:rsidP="00494130">
      <w:pPr>
        <w:pStyle w:val="Heading1"/>
        <w:spacing w:before="170"/>
        <w:ind w:left="0"/>
      </w:pPr>
      <w:r w:rsidRPr="002237BE">
        <w:rPr>
          <w:color w:val="337AB7"/>
        </w:rPr>
        <w:t>Engineering phosphoinositide-substrate specificity into Low Molecular Weight Protein Tyrosine Phosphatase (LMWPTP) by computational and structure-guided rational design</w:t>
      </w:r>
    </w:p>
    <w:p w:rsidR="005973B9" w:rsidRDefault="002237BE" w:rsidP="00A21BEF">
      <w:pPr>
        <w:pStyle w:val="BodyText"/>
        <w:tabs>
          <w:tab w:val="left" w:pos="6663"/>
        </w:tabs>
        <w:spacing w:before="73" w:line="198" w:lineRule="exact"/>
        <w:ind w:left="100" w:right="3035"/>
        <w:rPr>
          <w:rFonts w:ascii="Arial"/>
        </w:rPr>
      </w:pPr>
      <w:r>
        <w:rPr>
          <w:rFonts w:ascii="Arial"/>
        </w:rPr>
        <w:t xml:space="preserve">Eyong Esim Egbe, </w:t>
      </w:r>
      <w:r w:rsidRPr="002237BE">
        <w:rPr>
          <w:rFonts w:ascii="Arial"/>
        </w:rPr>
        <w:t>Faculty o</w:t>
      </w:r>
      <w:r>
        <w:rPr>
          <w:rFonts w:ascii="Arial"/>
        </w:rPr>
        <w:t>f Biology, Medicine and Health,</w:t>
      </w:r>
      <w:r w:rsidRPr="002237BE">
        <w:rPr>
          <w:rFonts w:ascii="Arial"/>
        </w:rPr>
        <w:t xml:space="preserve"> University of Manchester</w:t>
      </w:r>
      <w:r>
        <w:rPr>
          <w:rFonts w:ascii="Arial"/>
        </w:rPr>
        <w:t>, UK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D70B47">
      <w:pPr>
        <w:pStyle w:val="BodyText"/>
        <w:spacing w:before="90" w:line="280" w:lineRule="auto"/>
        <w:ind w:left="100"/>
        <w:jc w:val="both"/>
      </w:pPr>
      <w:r w:rsidRPr="00804EBE">
        <w:rPr>
          <w:b/>
        </w:rPr>
        <w:t>Statement of the Problem</w:t>
      </w:r>
      <w:r>
        <w:t xml:space="preserve">: </w:t>
      </w:r>
      <w:r w:rsidRPr="00D70B47">
        <w:t xml:space="preserve">Phosphoinositide phosphatases (PTENs, Myotubularins, SACI domain phosphatase, synaptojanins) are regulatory enzymes that mediate critical cell processes such as cell </w:t>
      </w:r>
      <w:r w:rsidR="008D51EE" w:rsidRPr="00D70B47">
        <w:t>signaling</w:t>
      </w:r>
      <w:r w:rsidRPr="00D70B47">
        <w:t xml:space="preserve">, cell cycle, growth and differentiation. Loss-of-function mutations in these enzymes </w:t>
      </w:r>
      <w:proofErr w:type="gramStart"/>
      <w:r w:rsidRPr="00D70B47">
        <w:t>are linked</w:t>
      </w:r>
      <w:proofErr w:type="gramEnd"/>
      <w:r w:rsidRPr="00D70B47">
        <w:t xml:space="preserve"> to several disease conditions including diabetes and cancer. </w:t>
      </w:r>
      <w:r w:rsidR="008D51EE" w:rsidRPr="00D70B47">
        <w:t>Tumor</w:t>
      </w:r>
      <w:r w:rsidRPr="00D70B47">
        <w:t xml:space="preserve"> suppressor PTEN, for example, is the most frequently mutated gene in various forms of human cancer.</w:t>
      </w:r>
      <w:r>
        <w:t xml:space="preserve"> The objective of this research is to exploit the possibility of using engineered enzymes in replacement therapy to tackle</w:t>
      </w:r>
      <w:r w:rsidRPr="00D70B47">
        <w:t xml:space="preserve"> </w:t>
      </w:r>
      <w:r>
        <w:t xml:space="preserve">these diseases. </w:t>
      </w:r>
      <w:r w:rsidRPr="00804EBE">
        <w:rPr>
          <w:b/>
        </w:rPr>
        <w:t>Methodology</w:t>
      </w:r>
      <w:r w:rsidR="00804EBE" w:rsidRPr="00804EBE">
        <w:rPr>
          <w:b/>
        </w:rPr>
        <w:t xml:space="preserve"> and findings</w:t>
      </w:r>
      <w:r>
        <w:t xml:space="preserve">: </w:t>
      </w:r>
      <w:r w:rsidRPr="00D70B47">
        <w:t xml:space="preserve">Protein engineering </w:t>
      </w:r>
      <w:proofErr w:type="gramStart"/>
      <w:r w:rsidRPr="00D70B47">
        <w:t>has been successfully applied</w:t>
      </w:r>
      <w:proofErr w:type="gramEnd"/>
      <w:r w:rsidRPr="00D70B47">
        <w:t xml:space="preserve"> to make new enzymes, change substrate specificity and catalytic efficiency of other enzymes. In the current research, we used a combination of structure-guided rational and computational design strategies to alter the substrate specificity of low molecular weight protein tyrosine phosphatase (LMWPTP), from tyrosine-specific to phosphoinositide-specific phosphatase. Designs </w:t>
      </w:r>
      <w:proofErr w:type="gramStart"/>
      <w:r w:rsidRPr="00D70B47">
        <w:t>were made</w:t>
      </w:r>
      <w:proofErr w:type="gramEnd"/>
      <w:r w:rsidRPr="00D70B47">
        <w:t xml:space="preserve"> by providing Rosetta Macromolecular Modelling suite with information from structural analysis, and </w:t>
      </w:r>
      <w:proofErr w:type="spellStart"/>
      <w:r w:rsidRPr="00D70B47">
        <w:t>Autodock</w:t>
      </w:r>
      <w:proofErr w:type="spellEnd"/>
      <w:r w:rsidRPr="00D70B47">
        <w:t xml:space="preserve"> 4.2 was used to validate the designs. Two double-point mutants dephosphorylate phosphoinositides. Mutant RT is strictly specific for PI5P, while mutant RK has broad substrate specificity; it dephosphorylates PI3P, PI4P, PI5P and PI35P2.  </w:t>
      </w:r>
      <w:r w:rsidR="00804EBE" w:rsidRPr="00804EBE">
        <w:rPr>
          <w:b/>
        </w:rPr>
        <w:t>Conclusion and significance</w:t>
      </w:r>
      <w:r w:rsidR="00804EBE">
        <w:t xml:space="preserve">: </w:t>
      </w:r>
      <w:r w:rsidRPr="00D70B47">
        <w:t xml:space="preserve">These mutants </w:t>
      </w:r>
      <w:proofErr w:type="gramStart"/>
      <w:r w:rsidRPr="00D70B47">
        <w:t>will subsequently be transfo</w:t>
      </w:r>
      <w:bookmarkStart w:id="0" w:name="_GoBack"/>
      <w:bookmarkEnd w:id="0"/>
      <w:r w:rsidRPr="00D70B47">
        <w:t>rmed</w:t>
      </w:r>
      <w:proofErr w:type="gramEnd"/>
      <w:r w:rsidRPr="00D70B47">
        <w:t xml:space="preserve"> into yeast knockout of phosphoinositide phosphatases to find out if they can rescue the associated loss-of-function phenotypes in yeast knockout. This will determine if in vitro activity of mutants </w:t>
      </w:r>
      <w:proofErr w:type="gramStart"/>
      <w:r w:rsidRPr="00D70B47">
        <w:t>can be replicated</w:t>
      </w:r>
      <w:proofErr w:type="gramEnd"/>
      <w:r w:rsidRPr="00D70B47">
        <w:t xml:space="preserve"> in vivo and possibly open up the opportunity to test the use of these engineered enzymes as bio-therapeutics in human disease treatment.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E90C74">
      <w:pPr>
        <w:pStyle w:val="BodyText"/>
        <w:spacing w:before="2"/>
        <w:rPr>
          <w:rFonts w:ascii="Arial"/>
          <w:b/>
          <w:sz w:val="16"/>
        </w:rPr>
      </w:pPr>
      <w:r w:rsidRPr="00E90C74">
        <w:rPr>
          <w:rFonts w:ascii="Arial"/>
          <w:b/>
          <w:sz w:val="16"/>
        </w:rPr>
        <w:drawing>
          <wp:inline distT="0" distB="0" distL="0" distR="0" wp14:anchorId="4AC80C99" wp14:editId="0FACD9C7">
            <wp:extent cx="3209518" cy="22672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08163" cy="226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C667B3" w:rsidRDefault="00E33385" w:rsidP="00E33385">
      <w:pPr>
        <w:tabs>
          <w:tab w:val="left" w:pos="384"/>
        </w:tabs>
        <w:ind w:right="117"/>
        <w:rPr>
          <w:sz w:val="18"/>
        </w:rPr>
      </w:pPr>
      <w:r w:rsidRPr="00E33385">
        <w:rPr>
          <w:rFonts w:ascii="Calibri" w:eastAsia="Calibri" w:hAnsi="Calibri" w:cs="Calibri"/>
          <w:sz w:val="18"/>
        </w:rPr>
        <w:t>1.</w:t>
      </w:r>
      <w:r>
        <w:rPr>
          <w:sz w:val="18"/>
        </w:rPr>
        <w:t xml:space="preserve"> </w:t>
      </w:r>
      <w:r w:rsidRPr="00E33385">
        <w:rPr>
          <w:sz w:val="18"/>
        </w:rPr>
        <w:t xml:space="preserve">Chow, C.Y., Landers, J.E., </w:t>
      </w:r>
      <w:proofErr w:type="spellStart"/>
      <w:r w:rsidRPr="00E33385">
        <w:rPr>
          <w:sz w:val="18"/>
        </w:rPr>
        <w:t>Bergren</w:t>
      </w:r>
      <w:proofErr w:type="spellEnd"/>
      <w:r w:rsidRPr="00E33385">
        <w:rPr>
          <w:sz w:val="18"/>
        </w:rPr>
        <w:t xml:space="preserve">, S.K., Sapp, P.C., Grant, A.E., Jones, J.M., Everett, L., </w:t>
      </w:r>
      <w:proofErr w:type="spellStart"/>
      <w:r w:rsidRPr="00E33385">
        <w:rPr>
          <w:sz w:val="18"/>
        </w:rPr>
        <w:t>Lenk</w:t>
      </w:r>
      <w:proofErr w:type="spellEnd"/>
      <w:r w:rsidRPr="00E33385">
        <w:rPr>
          <w:sz w:val="18"/>
        </w:rPr>
        <w:t>, G.M., McKenna-</w:t>
      </w:r>
      <w:proofErr w:type="spellStart"/>
      <w:r w:rsidRPr="00E33385">
        <w:rPr>
          <w:sz w:val="18"/>
        </w:rPr>
        <w:t>Yasek</w:t>
      </w:r>
      <w:proofErr w:type="spellEnd"/>
      <w:r w:rsidRPr="00E33385">
        <w:rPr>
          <w:sz w:val="18"/>
        </w:rPr>
        <w:t xml:space="preserve">, D.M., Weisman, L.S., </w:t>
      </w:r>
      <w:proofErr w:type="spellStart"/>
      <w:r w:rsidRPr="00E33385">
        <w:rPr>
          <w:sz w:val="18"/>
        </w:rPr>
        <w:t>Figlewicz</w:t>
      </w:r>
      <w:proofErr w:type="spellEnd"/>
      <w:r w:rsidRPr="00E33385">
        <w:rPr>
          <w:sz w:val="18"/>
        </w:rPr>
        <w:t xml:space="preserve">, D., Brown, R.H., </w:t>
      </w:r>
      <w:proofErr w:type="spellStart"/>
      <w:r w:rsidRPr="00E33385">
        <w:rPr>
          <w:sz w:val="18"/>
        </w:rPr>
        <w:t>Meisler</w:t>
      </w:r>
      <w:proofErr w:type="spellEnd"/>
      <w:r w:rsidRPr="00E33385">
        <w:rPr>
          <w:sz w:val="18"/>
        </w:rPr>
        <w:t xml:space="preserve">, M.H., 2009. </w:t>
      </w:r>
      <w:proofErr w:type="gramStart"/>
      <w:r w:rsidRPr="00E33385">
        <w:rPr>
          <w:sz w:val="18"/>
        </w:rPr>
        <w:t>Deleterious Variants of FIG4, a Phosphoinositide Phosphatase, in Patients with ALS.</w:t>
      </w:r>
      <w:proofErr w:type="gramEnd"/>
      <w:r w:rsidRPr="00E33385">
        <w:rPr>
          <w:sz w:val="18"/>
        </w:rPr>
        <w:t xml:space="preserve"> Am. J. Hum. </w:t>
      </w:r>
      <w:proofErr w:type="gramStart"/>
      <w:r w:rsidRPr="00E33385">
        <w:rPr>
          <w:sz w:val="18"/>
        </w:rPr>
        <w:t>Genet.</w:t>
      </w:r>
      <w:proofErr w:type="gramEnd"/>
      <w:r w:rsidRPr="00E33385">
        <w:rPr>
          <w:sz w:val="18"/>
        </w:rPr>
        <w:t xml:space="preserve"> </w:t>
      </w:r>
      <w:proofErr w:type="gramStart"/>
      <w:r w:rsidRPr="00E33385">
        <w:rPr>
          <w:sz w:val="18"/>
        </w:rPr>
        <w:t>84</w:t>
      </w:r>
      <w:proofErr w:type="gramEnd"/>
      <w:r w:rsidRPr="00E33385">
        <w:rPr>
          <w:sz w:val="18"/>
        </w:rPr>
        <w:t xml:space="preserve">, 85–88. </w:t>
      </w:r>
    </w:p>
    <w:p w:rsidR="00C667B3" w:rsidRDefault="00C667B3" w:rsidP="00E33385">
      <w:pPr>
        <w:tabs>
          <w:tab w:val="left" w:pos="384"/>
        </w:tabs>
        <w:ind w:right="117"/>
        <w:rPr>
          <w:sz w:val="18"/>
        </w:rPr>
      </w:pPr>
      <w:proofErr w:type="gramStart"/>
      <w:r>
        <w:rPr>
          <w:sz w:val="18"/>
        </w:rPr>
        <w:t xml:space="preserve">2. </w:t>
      </w:r>
      <w:r w:rsidR="00E33385" w:rsidRPr="00E33385">
        <w:rPr>
          <w:rFonts w:ascii="Calibri" w:eastAsia="Calibri" w:hAnsi="Calibri" w:cs="Calibri"/>
          <w:sz w:val="18"/>
        </w:rPr>
        <w:t>Johnston, S.B., Raines, R.T., 2015.</w:t>
      </w:r>
      <w:proofErr w:type="gramEnd"/>
      <w:r w:rsidR="00E33385" w:rsidRPr="00E33385">
        <w:rPr>
          <w:rFonts w:ascii="Calibri" w:eastAsia="Calibri" w:hAnsi="Calibri" w:cs="Calibri"/>
          <w:sz w:val="18"/>
        </w:rPr>
        <w:t xml:space="preserve"> Conformational Stability and Catalytic Activity of PTEN Variants Linked to Cancers and Autism Spectrum Disorders. Biochemistry (</w:t>
      </w:r>
      <w:proofErr w:type="spellStart"/>
      <w:r w:rsidR="00E33385" w:rsidRPr="00E33385">
        <w:rPr>
          <w:rFonts w:ascii="Calibri" w:eastAsia="Calibri" w:hAnsi="Calibri" w:cs="Calibri"/>
          <w:sz w:val="18"/>
        </w:rPr>
        <w:t>Mosc</w:t>
      </w:r>
      <w:proofErr w:type="spellEnd"/>
      <w:r w:rsidR="00E33385" w:rsidRPr="00E33385">
        <w:rPr>
          <w:rFonts w:ascii="Calibri" w:eastAsia="Calibri" w:hAnsi="Calibri" w:cs="Calibri"/>
          <w:sz w:val="18"/>
        </w:rPr>
        <w:t xml:space="preserve">.) 54, 1576–1582. </w:t>
      </w:r>
    </w:p>
    <w:p w:rsidR="00C667B3" w:rsidRDefault="00C667B3" w:rsidP="008756E6">
      <w:pPr>
        <w:tabs>
          <w:tab w:val="left" w:pos="384"/>
        </w:tabs>
        <w:ind w:right="117"/>
        <w:rPr>
          <w:sz w:val="18"/>
        </w:rPr>
      </w:pPr>
      <w:proofErr w:type="gramStart"/>
      <w:r>
        <w:rPr>
          <w:sz w:val="18"/>
        </w:rPr>
        <w:t xml:space="preserve">3. </w:t>
      </w:r>
      <w:r w:rsidR="00E33385" w:rsidRPr="00E33385">
        <w:rPr>
          <w:rFonts w:ascii="Calibri" w:eastAsia="Calibri" w:hAnsi="Calibri" w:cs="Calibri"/>
          <w:sz w:val="18"/>
        </w:rPr>
        <w:t xml:space="preserve">Nakajima, J., Okamoto, N., </w:t>
      </w:r>
      <w:proofErr w:type="spellStart"/>
      <w:r w:rsidR="00E33385" w:rsidRPr="00E33385">
        <w:rPr>
          <w:rFonts w:ascii="Calibri" w:eastAsia="Calibri" w:hAnsi="Calibri" w:cs="Calibri"/>
          <w:sz w:val="18"/>
        </w:rPr>
        <w:t>Shiraishi</w:t>
      </w:r>
      <w:proofErr w:type="spellEnd"/>
      <w:r w:rsidR="00E33385" w:rsidRPr="00E33385">
        <w:rPr>
          <w:rFonts w:ascii="Calibri" w:eastAsia="Calibri" w:hAnsi="Calibri" w:cs="Calibri"/>
          <w:sz w:val="18"/>
        </w:rPr>
        <w:t xml:space="preserve">, J., Nishimura, G., Nakashima, M., </w:t>
      </w:r>
      <w:proofErr w:type="spellStart"/>
      <w:r w:rsidR="00E33385" w:rsidRPr="00E33385">
        <w:rPr>
          <w:rFonts w:ascii="Calibri" w:eastAsia="Calibri" w:hAnsi="Calibri" w:cs="Calibri"/>
          <w:sz w:val="18"/>
        </w:rPr>
        <w:t>Tsurusaki</w:t>
      </w:r>
      <w:proofErr w:type="spellEnd"/>
      <w:r w:rsidR="00E33385" w:rsidRPr="00E33385">
        <w:rPr>
          <w:rFonts w:ascii="Calibri" w:eastAsia="Calibri" w:hAnsi="Calibri" w:cs="Calibri"/>
          <w:sz w:val="18"/>
        </w:rPr>
        <w:t xml:space="preserve">, Y., </w:t>
      </w:r>
      <w:proofErr w:type="spellStart"/>
      <w:r w:rsidR="00E33385" w:rsidRPr="00E33385">
        <w:rPr>
          <w:rFonts w:ascii="Calibri" w:eastAsia="Calibri" w:hAnsi="Calibri" w:cs="Calibri"/>
          <w:sz w:val="18"/>
        </w:rPr>
        <w:t>Saitsu</w:t>
      </w:r>
      <w:proofErr w:type="spellEnd"/>
      <w:r w:rsidR="00E33385" w:rsidRPr="00E33385">
        <w:rPr>
          <w:rFonts w:ascii="Calibri" w:eastAsia="Calibri" w:hAnsi="Calibri" w:cs="Calibri"/>
          <w:sz w:val="18"/>
        </w:rPr>
        <w:t>, H., Kawashima, H., Matsumoto, N., Miyake, N., 2013.</w:t>
      </w:r>
      <w:proofErr w:type="gramEnd"/>
      <w:r w:rsidR="00E33385" w:rsidRPr="00E33385">
        <w:rPr>
          <w:rFonts w:ascii="Calibri" w:eastAsia="Calibri" w:hAnsi="Calibri" w:cs="Calibri"/>
          <w:sz w:val="18"/>
        </w:rPr>
        <w:t xml:space="preserve"> </w:t>
      </w:r>
      <w:proofErr w:type="gramStart"/>
      <w:r w:rsidR="00E33385" w:rsidRPr="00E33385">
        <w:rPr>
          <w:rFonts w:ascii="Calibri" w:eastAsia="Calibri" w:hAnsi="Calibri" w:cs="Calibri"/>
          <w:sz w:val="18"/>
        </w:rPr>
        <w:t xml:space="preserve">Novel FIG4 mutations in </w:t>
      </w:r>
      <w:proofErr w:type="spellStart"/>
      <w:r w:rsidR="00E33385" w:rsidRPr="00E33385">
        <w:rPr>
          <w:rFonts w:ascii="Calibri" w:eastAsia="Calibri" w:hAnsi="Calibri" w:cs="Calibri"/>
          <w:sz w:val="18"/>
        </w:rPr>
        <w:t>Yunis</w:t>
      </w:r>
      <w:proofErr w:type="spellEnd"/>
      <w:r w:rsidR="00E33385" w:rsidRPr="00E33385">
        <w:rPr>
          <w:rFonts w:ascii="Calibri" w:eastAsia="Calibri" w:hAnsi="Calibri" w:cs="Calibri"/>
          <w:sz w:val="18"/>
        </w:rPr>
        <w:t>–</w:t>
      </w:r>
      <w:proofErr w:type="spellStart"/>
      <w:r w:rsidR="00E33385" w:rsidRPr="00E33385">
        <w:rPr>
          <w:rFonts w:ascii="Calibri" w:eastAsia="Calibri" w:hAnsi="Calibri" w:cs="Calibri"/>
          <w:sz w:val="18"/>
        </w:rPr>
        <w:t>Varon</w:t>
      </w:r>
      <w:proofErr w:type="spellEnd"/>
      <w:r w:rsidR="00E33385" w:rsidRPr="00E33385">
        <w:rPr>
          <w:rFonts w:ascii="Calibri" w:eastAsia="Calibri" w:hAnsi="Calibri" w:cs="Calibri"/>
          <w:sz w:val="18"/>
        </w:rPr>
        <w:t xml:space="preserve"> syndrome.</w:t>
      </w:r>
      <w:proofErr w:type="gramEnd"/>
      <w:r w:rsidR="00E33385" w:rsidRPr="00E33385">
        <w:rPr>
          <w:rFonts w:ascii="Calibri" w:eastAsia="Calibri" w:hAnsi="Calibri" w:cs="Calibri"/>
          <w:sz w:val="18"/>
        </w:rPr>
        <w:t xml:space="preserve"> J. Hum. </w:t>
      </w:r>
      <w:proofErr w:type="gramStart"/>
      <w:r w:rsidR="00E33385" w:rsidRPr="00E33385">
        <w:rPr>
          <w:rFonts w:ascii="Calibri" w:eastAsia="Calibri" w:hAnsi="Calibri" w:cs="Calibri"/>
          <w:sz w:val="18"/>
        </w:rPr>
        <w:t>Genet.</w:t>
      </w:r>
      <w:proofErr w:type="gramEnd"/>
      <w:r w:rsidR="00E33385" w:rsidRPr="00E33385">
        <w:rPr>
          <w:rFonts w:ascii="Calibri" w:eastAsia="Calibri" w:hAnsi="Calibri" w:cs="Calibri"/>
          <w:sz w:val="18"/>
        </w:rPr>
        <w:t xml:space="preserve"> </w:t>
      </w:r>
      <w:proofErr w:type="gramStart"/>
      <w:r w:rsidR="00E33385" w:rsidRPr="00E33385">
        <w:rPr>
          <w:rFonts w:ascii="Calibri" w:eastAsia="Calibri" w:hAnsi="Calibri" w:cs="Calibri"/>
          <w:sz w:val="18"/>
        </w:rPr>
        <w:t>58</w:t>
      </w:r>
      <w:proofErr w:type="gramEnd"/>
      <w:r w:rsidR="00E33385" w:rsidRPr="00E33385">
        <w:rPr>
          <w:rFonts w:ascii="Calibri" w:eastAsia="Calibri" w:hAnsi="Calibri" w:cs="Calibri"/>
          <w:sz w:val="18"/>
        </w:rPr>
        <w:t xml:space="preserve">, 822–824. </w:t>
      </w:r>
    </w:p>
    <w:p w:rsidR="00AE3E37" w:rsidRDefault="00C667B3" w:rsidP="008756E6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gramStart"/>
      <w:r>
        <w:rPr>
          <w:sz w:val="18"/>
        </w:rPr>
        <w:t xml:space="preserve">4. </w:t>
      </w:r>
      <w:r w:rsidR="00E33385" w:rsidRPr="00E33385">
        <w:rPr>
          <w:rFonts w:ascii="Calibri" w:eastAsia="Calibri" w:hAnsi="Calibri" w:cs="Calibri"/>
          <w:sz w:val="18"/>
        </w:rPr>
        <w:t>Rodríguez-</w:t>
      </w:r>
      <w:proofErr w:type="spellStart"/>
      <w:r w:rsidR="00E33385" w:rsidRPr="00E33385">
        <w:rPr>
          <w:rFonts w:ascii="Calibri" w:eastAsia="Calibri" w:hAnsi="Calibri" w:cs="Calibri"/>
          <w:sz w:val="18"/>
        </w:rPr>
        <w:t>Escudero</w:t>
      </w:r>
      <w:proofErr w:type="spellEnd"/>
      <w:r w:rsidR="00E33385" w:rsidRPr="00E33385">
        <w:rPr>
          <w:rFonts w:ascii="Calibri" w:eastAsia="Calibri" w:hAnsi="Calibri" w:cs="Calibri"/>
          <w:sz w:val="18"/>
        </w:rPr>
        <w:t>, I., Oliver, M.D., Andrés-Pons, A., Molina, M., Cid, V.J., Pulido, R., 2011.</w:t>
      </w:r>
      <w:proofErr w:type="gramEnd"/>
      <w:r w:rsidR="00E33385" w:rsidRPr="00E33385">
        <w:rPr>
          <w:rFonts w:ascii="Calibri" w:eastAsia="Calibri" w:hAnsi="Calibri" w:cs="Calibri"/>
          <w:sz w:val="18"/>
        </w:rPr>
        <w:t xml:space="preserve"> </w:t>
      </w:r>
      <w:proofErr w:type="gramStart"/>
      <w:r w:rsidR="00E33385" w:rsidRPr="00E33385">
        <w:rPr>
          <w:rFonts w:ascii="Calibri" w:eastAsia="Calibri" w:hAnsi="Calibri" w:cs="Calibri"/>
          <w:sz w:val="18"/>
        </w:rPr>
        <w:t>A comprehensive functional analysis of PTEN mutations: implications in tumor- and autism-related syndromes.</w:t>
      </w:r>
      <w:proofErr w:type="gramEnd"/>
      <w:r w:rsidR="00E33385" w:rsidRPr="00E33385">
        <w:rPr>
          <w:rFonts w:ascii="Calibri" w:eastAsia="Calibri" w:hAnsi="Calibri" w:cs="Calibri"/>
          <w:sz w:val="18"/>
        </w:rPr>
        <w:t xml:space="preserve"> Hum. Mol. Genet. </w:t>
      </w:r>
      <w:proofErr w:type="gramStart"/>
      <w:r w:rsidR="00E33385" w:rsidRPr="00E33385">
        <w:rPr>
          <w:rFonts w:ascii="Calibri" w:eastAsia="Calibri" w:hAnsi="Calibri" w:cs="Calibri"/>
          <w:sz w:val="18"/>
        </w:rPr>
        <w:t>20</w:t>
      </w:r>
      <w:proofErr w:type="gramEnd"/>
      <w:r w:rsidR="00E33385" w:rsidRPr="00E33385">
        <w:rPr>
          <w:rFonts w:ascii="Calibri" w:eastAsia="Calibri" w:hAnsi="Calibri" w:cs="Calibri"/>
          <w:sz w:val="18"/>
        </w:rPr>
        <w:t>, 41</w:t>
      </w:r>
      <w:r>
        <w:rPr>
          <w:rFonts w:ascii="Calibri" w:eastAsia="Calibri" w:hAnsi="Calibri" w:cs="Calibri"/>
          <w:sz w:val="18"/>
        </w:rPr>
        <w:t>32–4142.</w:t>
      </w:r>
    </w:p>
    <w:p w:rsidR="00C667B3" w:rsidRPr="00C667B3" w:rsidRDefault="00C667B3" w:rsidP="008756E6">
      <w:pPr>
        <w:tabs>
          <w:tab w:val="left" w:pos="384"/>
        </w:tabs>
        <w:ind w:right="117"/>
        <w:rPr>
          <w:sz w:val="18"/>
        </w:rPr>
      </w:pPr>
      <w:proofErr w:type="gramStart"/>
      <w:r>
        <w:rPr>
          <w:sz w:val="18"/>
        </w:rPr>
        <w:t xml:space="preserve">5. </w:t>
      </w:r>
      <w:r w:rsidRPr="00C667B3">
        <w:rPr>
          <w:sz w:val="18"/>
        </w:rPr>
        <w:t xml:space="preserve">Tabernero, L., </w:t>
      </w:r>
      <w:proofErr w:type="spellStart"/>
      <w:r w:rsidRPr="00C667B3">
        <w:rPr>
          <w:sz w:val="18"/>
        </w:rPr>
        <w:t>Aricescu</w:t>
      </w:r>
      <w:proofErr w:type="spellEnd"/>
      <w:r w:rsidRPr="00C667B3">
        <w:rPr>
          <w:sz w:val="18"/>
        </w:rPr>
        <w:t xml:space="preserve">, A.R., Jones, E.Y., </w:t>
      </w:r>
      <w:proofErr w:type="spellStart"/>
      <w:r w:rsidRPr="00C667B3">
        <w:rPr>
          <w:sz w:val="18"/>
        </w:rPr>
        <w:t>Szedlacsek</w:t>
      </w:r>
      <w:proofErr w:type="spellEnd"/>
      <w:r w:rsidRPr="00C667B3">
        <w:rPr>
          <w:sz w:val="18"/>
        </w:rPr>
        <w:t>, S.E., 2008.</w:t>
      </w:r>
      <w:proofErr w:type="gramEnd"/>
      <w:r w:rsidRPr="00C667B3">
        <w:rPr>
          <w:sz w:val="18"/>
        </w:rPr>
        <w:t xml:space="preserve"> </w:t>
      </w:r>
      <w:proofErr w:type="gramStart"/>
      <w:r w:rsidRPr="00C667B3">
        <w:rPr>
          <w:sz w:val="18"/>
        </w:rPr>
        <w:t>Protein tyrosine phosphatases: structure-function relationships: PTP structure-function relationship.</w:t>
      </w:r>
      <w:proofErr w:type="gramEnd"/>
      <w:r w:rsidRPr="00C667B3">
        <w:rPr>
          <w:sz w:val="18"/>
        </w:rPr>
        <w:t xml:space="preserve"> FEBS J. 275, 867–882. 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21BEF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635" t="6350" r="5080" b="635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VosgV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C667B3" w:rsidP="00404E5B">
      <w:pPr>
        <w:spacing w:before="92"/>
        <w:ind w:right="4234"/>
        <w:rPr>
          <w:rFonts w:ascii="Arial"/>
        </w:rPr>
      </w:pPr>
      <w:r w:rsidRPr="00C667B3">
        <w:rPr>
          <w:noProof/>
          <w:lang w:val="en-GB" w:eastAsia="en-GB"/>
        </w:rPr>
        <w:drawing>
          <wp:inline distT="0" distB="0" distL="0" distR="0" wp14:anchorId="32EB3964" wp14:editId="402BE8A1">
            <wp:extent cx="702259" cy="701006"/>
            <wp:effectExtent l="0" t="0" r="317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3773" cy="702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r w:rsidR="008E6613">
        <w:rPr>
          <w:rFonts w:ascii="Arial"/>
          <w:color w:val="BF5A14"/>
        </w:rPr>
        <w:t>150-word</w:t>
      </w:r>
      <w:r w:rsidR="00404E5B">
        <w:rPr>
          <w:rFonts w:ascii="Arial"/>
          <w:color w:val="BF5A14"/>
        </w:rPr>
        <w:t xml:space="preserve"> limit)</w:t>
      </w:r>
    </w:p>
    <w:p w:rsidR="00AE3E37" w:rsidRDefault="002237B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Eyong Esim Egbe is a final year PhD student in Molecular Cancer studies, who is very passionate and keen to achieve a positive impact on human health through research. </w:t>
      </w:r>
      <w:r w:rsidR="008E6613">
        <w:rPr>
          <w:rFonts w:ascii="Arial"/>
          <w:sz w:val="14"/>
        </w:rPr>
        <w:t xml:space="preserve">He obtained a First class honors BSc in Biochemistry in 2008 from the University of </w:t>
      </w:r>
      <w:proofErr w:type="spellStart"/>
      <w:r w:rsidR="008E6613">
        <w:rPr>
          <w:rFonts w:ascii="Arial"/>
          <w:sz w:val="14"/>
        </w:rPr>
        <w:t>Buea</w:t>
      </w:r>
      <w:proofErr w:type="spellEnd"/>
      <w:r w:rsidR="008E6613">
        <w:rPr>
          <w:rFonts w:ascii="Arial"/>
          <w:sz w:val="14"/>
        </w:rPr>
        <w:t xml:space="preserve">, Cameroon and graduated as the top student out of 2000 students. He won a Commonwealth Scholarship to study for a Masters in Biotechnology where he also finished in top spot with a distinction. He took up a management-consulting role with a chocolate manufacturing industry after undergoing a </w:t>
      </w:r>
      <w:r w:rsidR="00A21BEF">
        <w:rPr>
          <w:rFonts w:ascii="Arial"/>
          <w:sz w:val="14"/>
        </w:rPr>
        <w:t>2-year</w:t>
      </w:r>
      <w:r w:rsidR="008E6613">
        <w:rPr>
          <w:rFonts w:ascii="Arial"/>
          <w:sz w:val="14"/>
        </w:rPr>
        <w:t xml:space="preserve"> graduate trainee program. During 4 years of working with this company, he acquired transferrable skills in business management. He has now returned to conduct research in biotechnology with a view of returning to work with biopharmaceutical industries upon completion of his PhD. </w:t>
      </w:r>
    </w:p>
    <w:p w:rsidR="005C3099" w:rsidRDefault="00A9710C" w:rsidP="005C3099">
      <w:pPr>
        <w:spacing w:before="62"/>
        <w:ind w:left="3828" w:right="3319" w:firstLine="389"/>
        <w:jc w:val="center"/>
        <w:rPr>
          <w:rStyle w:val="Hyperlink"/>
          <w:rFonts w:ascii="Arial"/>
          <w:color w:val="auto"/>
          <w:sz w:val="14"/>
          <w:u w:val="none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A21BEF" w:rsidRPr="00B806EB">
          <w:rPr>
            <w:rStyle w:val="Hyperlink"/>
            <w:rFonts w:ascii="Arial"/>
            <w:sz w:val="14"/>
          </w:rPr>
          <w:t>Eyong.Egbe@postgrad.manchester.ac.uk</w:t>
        </w:r>
      </w:hyperlink>
    </w:p>
    <w:p w:rsidR="005C3099" w:rsidRDefault="00827B1F" w:rsidP="005C3099">
      <w:pPr>
        <w:spacing w:before="62"/>
        <w:ind w:left="3828" w:right="3319" w:firstLine="389"/>
        <w:jc w:val="center"/>
        <w:rPr>
          <w:rStyle w:val="Hyperlink"/>
          <w:rFonts w:ascii="Arial"/>
          <w:color w:val="auto"/>
          <w:sz w:val="14"/>
          <w:u w:val="none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8E6613">
        <w:rPr>
          <w:rStyle w:val="Hyperlink"/>
          <w:rFonts w:ascii="Arial"/>
          <w:color w:val="auto"/>
          <w:sz w:val="14"/>
          <w:u w:val="none"/>
        </w:rPr>
        <w:t>+44-79499-16107</w:t>
      </w:r>
    </w:p>
    <w:p w:rsidR="005C3099" w:rsidRDefault="005C3099" w:rsidP="005C3099">
      <w:pPr>
        <w:spacing w:before="39"/>
        <w:ind w:left="100"/>
        <w:rPr>
          <w:rFonts w:ascii="Minion Pro"/>
          <w:b/>
          <w:sz w:val="20"/>
        </w:rPr>
      </w:pPr>
      <w:r>
        <w:rPr>
          <w:noProof/>
          <w:sz w:val="18"/>
          <w:lang w:val="en-GB" w:eastAsia="en-GB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50EACDE9" wp14:editId="5AEA3A56">
                <wp:simplePos x="0" y="0"/>
                <wp:positionH relativeFrom="page">
                  <wp:posOffset>2299335</wp:posOffset>
                </wp:positionH>
                <wp:positionV relativeFrom="paragraph">
                  <wp:posOffset>80010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81.05pt,6.3pt" to="452.1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BxS08z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5C3099" w:rsidRDefault="005C3099" w:rsidP="005C3099">
      <w:pPr>
        <w:spacing w:before="39"/>
        <w:ind w:left="100"/>
        <w:rPr>
          <w:rFonts w:ascii="Minion Pro"/>
          <w:b/>
          <w:sz w:val="20"/>
        </w:rPr>
      </w:pPr>
      <w:r w:rsidRPr="005C3099">
        <w:rPr>
          <w:rFonts w:ascii="Minion Pro"/>
          <w:b/>
          <w:sz w:val="20"/>
        </w:rPr>
        <w:t xml:space="preserve"> </w:t>
      </w:r>
      <w:r w:rsidRPr="00B21A57">
        <w:rPr>
          <w:rFonts w:ascii="Minion Pro"/>
          <w:b/>
          <w:sz w:val="20"/>
        </w:rPr>
        <w:t>Notes/Comments:</w:t>
      </w:r>
    </w:p>
    <w:sectPr w:rsidR="00AE3E37" w:rsidRPr="005C3099" w:rsidSect="00A21BEF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FA1" w:rsidRDefault="00CC6FA1">
      <w:r>
        <w:separator/>
      </w:r>
    </w:p>
  </w:endnote>
  <w:endnote w:type="continuationSeparator" w:id="0">
    <w:p w:rsidR="00CC6FA1" w:rsidRDefault="00CC6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21BEF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FA1" w:rsidRDefault="00CC6FA1">
      <w:r>
        <w:separator/>
      </w:r>
    </w:p>
  </w:footnote>
  <w:footnote w:type="continuationSeparator" w:id="0">
    <w:p w:rsidR="00CC6FA1" w:rsidRDefault="00CC6F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21BEF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F3F2D"/>
    <w:multiLevelType w:val="hybridMultilevel"/>
    <w:tmpl w:val="7E889B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E2911"/>
    <w:rsid w:val="001263DF"/>
    <w:rsid w:val="002220FB"/>
    <w:rsid w:val="002237BE"/>
    <w:rsid w:val="00292ED9"/>
    <w:rsid w:val="002F11C8"/>
    <w:rsid w:val="003C27DC"/>
    <w:rsid w:val="003D5E81"/>
    <w:rsid w:val="00404E5B"/>
    <w:rsid w:val="00414F7B"/>
    <w:rsid w:val="004355DC"/>
    <w:rsid w:val="004749B4"/>
    <w:rsid w:val="00494130"/>
    <w:rsid w:val="004F3523"/>
    <w:rsid w:val="005973B9"/>
    <w:rsid w:val="005B3A56"/>
    <w:rsid w:val="005C3099"/>
    <w:rsid w:val="006060CE"/>
    <w:rsid w:val="0063497F"/>
    <w:rsid w:val="006910C5"/>
    <w:rsid w:val="00804EBE"/>
    <w:rsid w:val="00827B1F"/>
    <w:rsid w:val="00873DF0"/>
    <w:rsid w:val="008756E6"/>
    <w:rsid w:val="008D51EE"/>
    <w:rsid w:val="008E6613"/>
    <w:rsid w:val="009B2D44"/>
    <w:rsid w:val="00A07E82"/>
    <w:rsid w:val="00A21BEF"/>
    <w:rsid w:val="00A9710C"/>
    <w:rsid w:val="00AE3E37"/>
    <w:rsid w:val="00B21A57"/>
    <w:rsid w:val="00B653B3"/>
    <w:rsid w:val="00C33602"/>
    <w:rsid w:val="00C667B3"/>
    <w:rsid w:val="00CC00DB"/>
    <w:rsid w:val="00CC6FA1"/>
    <w:rsid w:val="00CD6F55"/>
    <w:rsid w:val="00D70B47"/>
    <w:rsid w:val="00DE3104"/>
    <w:rsid w:val="00E029EB"/>
    <w:rsid w:val="00E33385"/>
    <w:rsid w:val="00E90C74"/>
    <w:rsid w:val="00F72EEA"/>
    <w:rsid w:val="00F84CAE"/>
    <w:rsid w:val="00FC3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333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33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Eyong.Egbe@postgrad.manchester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Eyong Egbe</cp:lastModifiedBy>
  <cp:revision>5</cp:revision>
  <dcterms:created xsi:type="dcterms:W3CDTF">2017-03-15T15:31:00Z</dcterms:created>
  <dcterms:modified xsi:type="dcterms:W3CDTF">2017-03-15T15:34:00Z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