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23F" w:rsidRDefault="00FF0E7F" w:rsidP="00FF0E7F">
      <w:pPr>
        <w:jc w:val="center"/>
        <w:rPr>
          <w:rFonts w:ascii="Helvetica" w:hAnsi="Helvetica"/>
          <w:b/>
          <w:bCs/>
          <w:color w:val="1C1C1C"/>
          <w:sz w:val="57"/>
          <w:szCs w:val="57"/>
          <w:shd w:val="clear" w:color="auto" w:fill="FFFFFF"/>
        </w:rPr>
      </w:pPr>
      <w:r>
        <w:rPr>
          <w:rFonts w:ascii="Helvetica" w:hAnsi="Helvetica"/>
          <w:b/>
          <w:bCs/>
          <w:color w:val="1C1C1C"/>
          <w:sz w:val="57"/>
          <w:szCs w:val="57"/>
          <w:shd w:val="clear" w:color="auto" w:fill="FFFFFF"/>
        </w:rPr>
        <w:t xml:space="preserve">Probiotic Eye–Drops Treatment in Patients Affected by Vernal </w:t>
      </w:r>
      <w:proofErr w:type="spellStart"/>
      <w:r>
        <w:rPr>
          <w:rFonts w:ascii="Helvetica" w:hAnsi="Helvetica"/>
          <w:b/>
          <w:bCs/>
          <w:color w:val="1C1C1C"/>
          <w:sz w:val="57"/>
          <w:szCs w:val="57"/>
          <w:shd w:val="clear" w:color="auto" w:fill="FFFFFF"/>
        </w:rPr>
        <w:t>Keratoconjunctivitis</w:t>
      </w:r>
      <w:proofErr w:type="spellEnd"/>
    </w:p>
    <w:p w:rsidR="009506F4" w:rsidRPr="00743D86" w:rsidRDefault="009506F4" w:rsidP="009506F4">
      <w:pPr>
        <w:jc w:val="center"/>
        <w:rPr>
          <w:b/>
          <w:bCs/>
          <w:i/>
          <w:iCs/>
          <w:sz w:val="24"/>
          <w:szCs w:val="24"/>
        </w:rPr>
      </w:pPr>
      <w:r w:rsidRPr="00743D86">
        <w:rPr>
          <w:b/>
          <w:bCs/>
          <w:i/>
          <w:iCs/>
          <w:sz w:val="24"/>
          <w:szCs w:val="24"/>
        </w:rPr>
        <w:t xml:space="preserve">DR SHABBIR </w:t>
      </w:r>
      <w:proofErr w:type="gramStart"/>
      <w:r w:rsidRPr="00743D86">
        <w:rPr>
          <w:b/>
          <w:bCs/>
          <w:i/>
          <w:iCs/>
          <w:sz w:val="24"/>
          <w:szCs w:val="24"/>
        </w:rPr>
        <w:t>SAIFUDDIN ,</w:t>
      </w:r>
      <w:proofErr w:type="gramEnd"/>
      <w:r w:rsidRPr="00743D86">
        <w:rPr>
          <w:b/>
          <w:bCs/>
          <w:i/>
          <w:iCs/>
          <w:sz w:val="24"/>
          <w:szCs w:val="24"/>
        </w:rPr>
        <w:t xml:space="preserve"> MD, </w:t>
      </w:r>
      <w:proofErr w:type="spellStart"/>
      <w:r w:rsidRPr="00743D86">
        <w:rPr>
          <w:b/>
          <w:bCs/>
          <w:i/>
          <w:iCs/>
          <w:sz w:val="24"/>
          <w:szCs w:val="24"/>
        </w:rPr>
        <w:t>MCh</w:t>
      </w:r>
      <w:proofErr w:type="spellEnd"/>
      <w:r w:rsidRPr="00743D86">
        <w:rPr>
          <w:b/>
          <w:bCs/>
          <w:i/>
          <w:iCs/>
          <w:sz w:val="24"/>
          <w:szCs w:val="24"/>
        </w:rPr>
        <w:t xml:space="preserve"> (ophthalmology)</w:t>
      </w:r>
    </w:p>
    <w:p w:rsidR="009506F4" w:rsidRDefault="009506F4" w:rsidP="009506F4">
      <w:pPr>
        <w:jc w:val="center"/>
        <w:rPr>
          <w:b/>
          <w:bCs/>
          <w:i/>
          <w:iCs/>
          <w:sz w:val="24"/>
          <w:szCs w:val="24"/>
        </w:rPr>
      </w:pPr>
      <w:r w:rsidRPr="00743D86">
        <w:rPr>
          <w:b/>
          <w:bCs/>
          <w:i/>
          <w:iCs/>
          <w:sz w:val="24"/>
          <w:szCs w:val="24"/>
        </w:rPr>
        <w:t>JANSONS HOSPITAL, BUR DUBAI, DUBAI, UNITED ARAB EMIRATES</w:t>
      </w:r>
    </w:p>
    <w:p w:rsidR="009506F4" w:rsidRDefault="009506F4" w:rsidP="00FF0E7F">
      <w:pPr>
        <w:jc w:val="center"/>
        <w:rPr>
          <w:rFonts w:ascii="Helvetica" w:hAnsi="Helvetica"/>
          <w:b/>
          <w:bCs/>
          <w:color w:val="1C1C1C"/>
          <w:sz w:val="57"/>
          <w:szCs w:val="57"/>
          <w:shd w:val="clear" w:color="auto" w:fill="FFFFFF"/>
        </w:rPr>
      </w:pPr>
    </w:p>
    <w:p w:rsidR="00FF0E7F" w:rsidRDefault="00FF0E7F" w:rsidP="00FF0E7F">
      <w:pPr>
        <w:jc w:val="center"/>
        <w:rPr>
          <w:rFonts w:ascii="Helvetica" w:hAnsi="Helvetica"/>
          <w:b/>
          <w:bCs/>
          <w:color w:val="1C1C1C"/>
          <w:sz w:val="57"/>
          <w:szCs w:val="57"/>
          <w:shd w:val="clear" w:color="auto" w:fill="FFFFFF"/>
        </w:rPr>
      </w:pPr>
    </w:p>
    <w:p w:rsidR="00FF0E7F" w:rsidRPr="00FF0E7F" w:rsidRDefault="00FF0E7F" w:rsidP="00FF0E7F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222222"/>
          <w:sz w:val="24"/>
          <w:szCs w:val="24"/>
          <w:lang w:eastAsia="en-GB"/>
        </w:rPr>
      </w:pPr>
      <w:r w:rsidRPr="00FF0E7F">
        <w:rPr>
          <w:rFonts w:ascii="Helvetica" w:eastAsia="Times New Roman" w:hAnsi="Helvetica" w:cs="Arial"/>
          <w:color w:val="222222"/>
          <w:sz w:val="24"/>
          <w:szCs w:val="24"/>
          <w:lang w:eastAsia="en-GB"/>
        </w:rPr>
        <w:t>Abstract</w:t>
      </w:r>
    </w:p>
    <w:p w:rsidR="00FF0E7F" w:rsidRPr="00FF0E7F" w:rsidRDefault="00FF0E7F" w:rsidP="00FF0E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FF0E7F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Purpose: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Probiotics have been shown to potentially affect allergic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inflammation by modulating Th1/Th2 balance. The aim of this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study is to evaluate the efficacy of probiotic eye–drops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treatment in controlling signs and symptoms of vernal </w:t>
      </w:r>
      <w:proofErr w:type="spellStart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keratoconjunctivitis</w:t>
      </w:r>
      <w:proofErr w:type="spellEnd"/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(VKC).</w:t>
      </w:r>
    </w:p>
    <w:p w:rsidR="00FF0E7F" w:rsidRPr="00FF0E7F" w:rsidRDefault="00FF0E7F" w:rsidP="00FF0E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FF0E7F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Methods</w:t>
      </w:r>
      <w:proofErr w:type="gramStart"/>
      <w:r w:rsidRPr="00FF0E7F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: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:</w:t>
      </w:r>
      <w:proofErr w:type="gramEnd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Six patients (age:7–17, mean age 10.8; sex: 4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M, 2 F) affected by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severe VKC in active phase have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been included in the study. Solution of freeze–dried inactivated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Lactobacillus Acidophilus in saline solution (concentration: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2 x 10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8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/ml) has been administrated as eye–drops 4 times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daily for 4 weeks in both eyes. Clinical signs (</w:t>
      </w:r>
      <w:proofErr w:type="spellStart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conjunctival</w:t>
      </w:r>
      <w:proofErr w:type="spellEnd"/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proofErr w:type="spellStart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hyperemia</w:t>
      </w:r>
      <w:proofErr w:type="spellEnd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, </w:t>
      </w:r>
      <w:proofErr w:type="spellStart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chemosis</w:t>
      </w:r>
      <w:proofErr w:type="spellEnd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and secretion, upper tarsal papillae, </w:t>
      </w:r>
      <w:proofErr w:type="spellStart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limbal</w:t>
      </w:r>
      <w:proofErr w:type="spellEnd"/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lesions, superficial punctuate keratitis) and symptoms (itching,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photophobia, burning, tearing</w:t>
      </w: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>) were evaluated and scored from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0 to 3 at baseline, after 2 weeks and after 4 weeks of treatment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with probiotic eye–drops (follow–up: 2–7 weeks).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Topical steroids were allowed as rescue medication. The total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signs (TSS) and the total symptoms (</w:t>
      </w:r>
      <w:proofErr w:type="spellStart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TSyS</w:t>
      </w:r>
      <w:proofErr w:type="spellEnd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) scores were calculated.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Mann–Whitney U–test was used to compare signs and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symptoms at different time–points.</w:t>
      </w:r>
    </w:p>
    <w:p w:rsidR="00FF0E7F" w:rsidRPr="00FF0E7F" w:rsidRDefault="00FF0E7F" w:rsidP="00FF0E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FF0E7F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Results</w:t>
      </w:r>
      <w:proofErr w:type="gramStart"/>
      <w:r w:rsidRPr="00FF0E7F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: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:</w:t>
      </w:r>
      <w:proofErr w:type="gramEnd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After two weeks of treatment 4 out of 6 patients showed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improvement of symptoms (</w:t>
      </w:r>
      <w:proofErr w:type="spellStart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TSyS</w:t>
      </w:r>
      <w:proofErr w:type="spellEnd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baseline 5.5±1.5 vs. 3.6±2.4,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p=0.028) with significant improvement of photophobia (baseline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2±0.6 vs. 1±0.9; p=0.050). Clinical signs showed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improvement from baseline in 5 out of 6 patients after two weeks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of treatment that did not reach statistically significant values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(TSS: baseline 7 ± 2.8 vs. 2 weeks 5.4 ± 3.2;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proofErr w:type="spellStart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nss</w:t>
      </w:r>
      <w:proofErr w:type="spellEnd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). After two weeks of treatment 1 patients dropped–out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because of severe ocular surface inflammation that required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topical steroid treatment. At the end of the study patients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showed improvement of symptoms (</w:t>
      </w:r>
      <w:proofErr w:type="spellStart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TSyS</w:t>
      </w:r>
      <w:proofErr w:type="spellEnd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baseline 5.5±1.5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vs. 4±2.6, </w:t>
      </w:r>
      <w:proofErr w:type="spellStart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nss</w:t>
      </w:r>
      <w:proofErr w:type="spellEnd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) and signs with total signs score significantly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decreased with respect to baseline (TSS: baseline 7 ±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2.8 vs. 4±2.8; p=0.043). </w:t>
      </w:r>
      <w:proofErr w:type="spellStart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Conjunctival</w:t>
      </w:r>
      <w:proofErr w:type="spellEnd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secretion was the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only clinical sign improved both at 2 and 4 weeks of treatment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with respect to baseline (baseline 1.8±0.3 vs. 1.2±0.8;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p=0.030).</w:t>
      </w:r>
    </w:p>
    <w:p w:rsidR="00FF0E7F" w:rsidRPr="00FF0E7F" w:rsidRDefault="00FF0E7F" w:rsidP="00FF0E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FF0E7F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lastRenderedPageBreak/>
        <w:t>Conclusions</w:t>
      </w:r>
      <w:proofErr w:type="gramStart"/>
      <w:r w:rsidRPr="00FF0E7F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: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:</w:t>
      </w:r>
      <w:proofErr w:type="gramEnd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Our data suggest that probiotic eye–drops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treatment improves symptoms and signs in patients affected by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vernal </w:t>
      </w:r>
      <w:proofErr w:type="spellStart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keratoconjunctivitis</w:t>
      </w:r>
      <w:proofErr w:type="spellEnd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. Further extended studies are necessary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to establish the possible use of Lactobacillus Acidophilus eye–drops</w:t>
      </w:r>
      <w:r w:rsidRPr="00FF0E7F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as a therapy for vernal </w:t>
      </w:r>
      <w:proofErr w:type="spellStart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keratoconjunctivitis</w:t>
      </w:r>
      <w:proofErr w:type="spellEnd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.</w:t>
      </w:r>
    </w:p>
    <w:p w:rsidR="00FF0E7F" w:rsidRDefault="00FF0E7F" w:rsidP="00FF0E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FF0E7F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Keywords:</w:t>
      </w:r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conjunctivitis • immunomodulation/</w:t>
      </w:r>
      <w:proofErr w:type="spellStart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immunoregulation</w:t>
      </w:r>
      <w:proofErr w:type="spellEnd"/>
      <w:r w:rsidRPr="00FF0E7F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• clinical (human) or epidemiologic studies: treatment/prevention assess</w:t>
      </w:r>
      <w:r w:rsidR="000D6616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ment/controlled clinical trials.</w:t>
      </w:r>
    </w:p>
    <w:p w:rsidR="000D6616" w:rsidRDefault="000D6616" w:rsidP="00FF0E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0D6616" w:rsidRDefault="000D6616" w:rsidP="00FF0E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0D6616" w:rsidRDefault="000D6616" w:rsidP="000D6616">
      <w:pPr>
        <w:rPr>
          <w:i/>
          <w:iCs/>
          <w:sz w:val="24"/>
          <w:szCs w:val="24"/>
        </w:rPr>
      </w:pPr>
      <w:r w:rsidRPr="00131B2E">
        <w:rPr>
          <w:i/>
          <w:iCs/>
          <w:sz w:val="24"/>
          <w:szCs w:val="24"/>
        </w:rPr>
        <w:t>Presenting author details</w:t>
      </w:r>
    </w:p>
    <w:p w:rsidR="000D6616" w:rsidRPr="00131B2E" w:rsidRDefault="000D6616" w:rsidP="000D6616">
      <w:pPr>
        <w:rPr>
          <w:b/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Full Name   </w:t>
      </w:r>
      <w:r w:rsidRPr="00131B2E">
        <w:rPr>
          <w:b/>
          <w:bCs/>
          <w:i/>
          <w:iCs/>
          <w:sz w:val="24"/>
          <w:szCs w:val="24"/>
        </w:rPr>
        <w:t>DR.SHABBIR SAIFUDDIN</w:t>
      </w:r>
    </w:p>
    <w:p w:rsidR="000D6616" w:rsidRPr="00131B2E" w:rsidRDefault="000D6616" w:rsidP="000D6616">
      <w:pPr>
        <w:rPr>
          <w:b/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Contact NO. </w:t>
      </w:r>
      <w:r w:rsidRPr="00131B2E">
        <w:rPr>
          <w:b/>
          <w:bCs/>
          <w:i/>
          <w:iCs/>
          <w:sz w:val="24"/>
          <w:szCs w:val="24"/>
        </w:rPr>
        <w:t>00971-5856560</w:t>
      </w:r>
    </w:p>
    <w:p w:rsidR="000D6616" w:rsidRDefault="000D6616" w:rsidP="000D6616">
      <w:pPr>
        <w:rPr>
          <w:i/>
          <w:iCs/>
          <w:sz w:val="24"/>
          <w:szCs w:val="24"/>
        </w:rPr>
      </w:pPr>
      <w:proofErr w:type="gramStart"/>
      <w:r>
        <w:rPr>
          <w:i/>
          <w:iCs/>
          <w:sz w:val="24"/>
          <w:szCs w:val="24"/>
        </w:rPr>
        <w:t>e-mail</w:t>
      </w:r>
      <w:proofErr w:type="gramEnd"/>
      <w:r>
        <w:rPr>
          <w:i/>
          <w:iCs/>
          <w:sz w:val="24"/>
          <w:szCs w:val="24"/>
        </w:rPr>
        <w:t xml:space="preserve">   </w:t>
      </w:r>
      <w:r>
        <w:rPr>
          <w:b/>
          <w:bCs/>
          <w:i/>
          <w:iCs/>
          <w:sz w:val="24"/>
          <w:szCs w:val="24"/>
        </w:rPr>
        <w:t xml:space="preserve">- </w:t>
      </w:r>
      <w:hyperlink r:id="rId4" w:history="1">
        <w:r w:rsidRPr="009C1E4D">
          <w:rPr>
            <w:rStyle w:val="Hyperlink"/>
            <w:b/>
            <w:bCs/>
            <w:i/>
            <w:iCs/>
            <w:sz w:val="24"/>
            <w:szCs w:val="24"/>
          </w:rPr>
          <w:t>tasmooon@gmail.com</w:t>
        </w:r>
      </w:hyperlink>
      <w:r>
        <w:rPr>
          <w:b/>
          <w:bCs/>
          <w:i/>
          <w:iCs/>
          <w:sz w:val="24"/>
          <w:szCs w:val="24"/>
        </w:rPr>
        <w:t xml:space="preserve">    ;  </w:t>
      </w:r>
      <w:hyperlink r:id="rId5" w:history="1">
        <w:r w:rsidRPr="009C1E4D">
          <w:rPr>
            <w:rStyle w:val="Hyperlink"/>
            <w:b/>
            <w:bCs/>
            <w:i/>
            <w:iCs/>
            <w:sz w:val="24"/>
            <w:szCs w:val="24"/>
          </w:rPr>
          <w:t>tasmoon@emirates.net.ae</w:t>
        </w:r>
      </w:hyperlink>
      <w:r>
        <w:rPr>
          <w:b/>
          <w:bCs/>
          <w:i/>
          <w:iCs/>
          <w:sz w:val="24"/>
          <w:szCs w:val="24"/>
        </w:rPr>
        <w:t xml:space="preserve"> </w:t>
      </w:r>
      <w:bookmarkStart w:id="0" w:name="_GoBack"/>
      <w:bookmarkEnd w:id="0"/>
    </w:p>
    <w:p w:rsidR="000D6616" w:rsidRPr="00131B2E" w:rsidRDefault="000D6616" w:rsidP="000D6616">
      <w:pPr>
        <w:rPr>
          <w:b/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Category – </w:t>
      </w:r>
      <w:r w:rsidRPr="00131B2E">
        <w:rPr>
          <w:b/>
          <w:bCs/>
          <w:i/>
          <w:iCs/>
          <w:sz w:val="24"/>
          <w:szCs w:val="24"/>
        </w:rPr>
        <w:t>Poster presentation</w:t>
      </w:r>
    </w:p>
    <w:p w:rsidR="000D6616" w:rsidRDefault="000D6616" w:rsidP="000D661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Biography</w:t>
      </w:r>
    </w:p>
    <w:p w:rsidR="000D6616" w:rsidRDefault="000D6616" w:rsidP="000D6616">
      <w:pPr>
        <w:rPr>
          <w:b/>
          <w:bCs/>
          <w:i/>
          <w:iCs/>
          <w:sz w:val="24"/>
          <w:szCs w:val="24"/>
        </w:rPr>
      </w:pPr>
      <w:proofErr w:type="gramStart"/>
      <w:r>
        <w:rPr>
          <w:b/>
          <w:bCs/>
          <w:i/>
          <w:iCs/>
          <w:sz w:val="24"/>
          <w:szCs w:val="24"/>
        </w:rPr>
        <w:t>Author  received</w:t>
      </w:r>
      <w:proofErr w:type="gramEnd"/>
      <w:r>
        <w:rPr>
          <w:b/>
          <w:bCs/>
          <w:i/>
          <w:iCs/>
          <w:sz w:val="24"/>
          <w:szCs w:val="24"/>
        </w:rPr>
        <w:t xml:space="preserve"> post-graduate degree in Ophthalmology in 1987 from Mangalore University in India and has undergone clinical trainings at London  MOORFIELDS Eye Hospital)  and Munich  (University Eye Hospital ) and has </w:t>
      </w:r>
      <w:r w:rsidRPr="00131B2E">
        <w:rPr>
          <w:b/>
          <w:bCs/>
          <w:i/>
          <w:iCs/>
          <w:sz w:val="24"/>
          <w:szCs w:val="24"/>
        </w:rPr>
        <w:t>35 years of experience as an Ophthalmologist. He has published over 30 papers in journals and at various regional and international conferences</w:t>
      </w:r>
      <w:r>
        <w:rPr>
          <w:b/>
          <w:bCs/>
          <w:i/>
          <w:iCs/>
          <w:sz w:val="24"/>
          <w:szCs w:val="24"/>
        </w:rPr>
        <w:t>.</w:t>
      </w:r>
    </w:p>
    <w:p w:rsidR="000D6616" w:rsidRDefault="000D6616" w:rsidP="00FF0E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0D6616" w:rsidRDefault="000D6616" w:rsidP="00FF0E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0D6616" w:rsidRDefault="000D6616" w:rsidP="00FF0E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0D6616" w:rsidRPr="00FF0E7F" w:rsidRDefault="000D6616" w:rsidP="00FF0E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FF0E7F" w:rsidRDefault="000D6616" w:rsidP="00FF0E7F">
      <w:r w:rsidRPr="006636C0">
        <w:rPr>
          <w:b/>
          <w:bCs/>
          <w:i/>
          <w:iCs/>
          <w:noProof/>
          <w:sz w:val="24"/>
          <w:szCs w:val="24"/>
          <w:lang w:eastAsia="en-GB"/>
        </w:rPr>
        <w:drawing>
          <wp:inline distT="0" distB="0" distL="0" distR="0" wp14:anchorId="0D200844" wp14:editId="20E9BF25">
            <wp:extent cx="2038350" cy="1838325"/>
            <wp:effectExtent l="0" t="0" r="0" b="9525"/>
            <wp:docPr id="1" name="Picture 1" descr="C:\Users\USER\Desktop\New folder\DR.SHABBIR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ew folder\DR.SHABBIR PH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0E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E7F"/>
    <w:rsid w:val="000D423F"/>
    <w:rsid w:val="000D6616"/>
    <w:rsid w:val="009506F4"/>
    <w:rsid w:val="00FF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4BEEBE-CD81-475D-BCC3-94CA39510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66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2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8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95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tasmoon@emirates.net.ae" TargetMode="External"/><Relationship Id="rId4" Type="http://schemas.openxmlformats.org/officeDocument/2006/relationships/hyperlink" Target="mailto:tasmoo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2019-12-07T07:46:00Z</dcterms:created>
  <dcterms:modified xsi:type="dcterms:W3CDTF">2019-12-07T07:51:00Z</dcterms:modified>
</cp:coreProperties>
</file>