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BA7" w:rsidRPr="00A5556D" w:rsidRDefault="00AD0BA7" w:rsidP="00AD0BA7">
      <w:pPr>
        <w:pStyle w:val="Heading1"/>
        <w:shd w:val="clear" w:color="auto" w:fill="FFFFFF"/>
        <w:spacing w:before="240" w:after="120" w:line="324" w:lineRule="atLeast"/>
        <w:rPr>
          <w:rFonts w:ascii="Arial" w:hAnsi="Arial" w:cs="Arial"/>
          <w:b w:val="0"/>
          <w:bCs w:val="0"/>
          <w:color w:val="000000" w:themeColor="text1"/>
          <w:sz w:val="37"/>
          <w:szCs w:val="37"/>
        </w:rPr>
      </w:pPr>
      <w:r w:rsidRPr="00A5556D">
        <w:rPr>
          <w:rFonts w:ascii="Arial" w:hAnsi="Arial" w:cs="Arial"/>
          <w:b w:val="0"/>
          <w:bCs w:val="0"/>
          <w:color w:val="000000" w:themeColor="text1"/>
          <w:sz w:val="37"/>
          <w:szCs w:val="37"/>
        </w:rPr>
        <w:t xml:space="preserve">Validity and Reliability of the Amharic Version of EORTC-QLQ-CR29 </w:t>
      </w:r>
      <w:proofErr w:type="gramStart"/>
      <w:r w:rsidRPr="00A5556D">
        <w:rPr>
          <w:rFonts w:ascii="Arial" w:hAnsi="Arial" w:cs="Arial"/>
          <w:b w:val="0"/>
          <w:bCs w:val="0"/>
          <w:color w:val="000000" w:themeColor="text1"/>
          <w:sz w:val="37"/>
          <w:szCs w:val="37"/>
        </w:rPr>
        <w:t>Among</w:t>
      </w:r>
      <w:proofErr w:type="gramEnd"/>
      <w:r w:rsidRPr="00A5556D">
        <w:rPr>
          <w:rFonts w:ascii="Arial" w:hAnsi="Arial" w:cs="Arial"/>
          <w:b w:val="0"/>
          <w:bCs w:val="0"/>
          <w:color w:val="000000" w:themeColor="text1"/>
          <w:sz w:val="37"/>
          <w:szCs w:val="37"/>
        </w:rPr>
        <w:t xml:space="preserve"> Colorectal Cancer Patients in Ethiopia</w:t>
      </w:r>
    </w:p>
    <w:p w:rsidR="00AE3E37" w:rsidRPr="00A5556D" w:rsidRDefault="00AD0BA7">
      <w:pPr>
        <w:pStyle w:val="BodyText"/>
        <w:rPr>
          <w:rFonts w:ascii="Arial"/>
          <w:color w:val="000000" w:themeColor="text1"/>
          <w:sz w:val="20"/>
        </w:rPr>
      </w:pPr>
      <w:hyperlink r:id="rId7" w:history="1">
        <w:r w:rsidRPr="00A5556D">
          <w:rPr>
            <w:rStyle w:val="Hyperlink"/>
            <w:rFonts w:ascii="Arial" w:hAnsi="Arial" w:cs="Arial"/>
            <w:color w:val="000000" w:themeColor="text1"/>
            <w:sz w:val="20"/>
            <w:szCs w:val="20"/>
            <w:shd w:val="clear" w:color="auto" w:fill="FFFFFF"/>
          </w:rPr>
          <w:t xml:space="preserve">Lidya Genene </w:t>
        </w:r>
        <w:proofErr w:type="spellStart"/>
        <w:r w:rsidRPr="00A5556D">
          <w:rPr>
            <w:rStyle w:val="Hyperlink"/>
            <w:rFonts w:ascii="Arial" w:hAnsi="Arial" w:cs="Arial"/>
            <w:color w:val="000000" w:themeColor="text1"/>
            <w:sz w:val="20"/>
            <w:szCs w:val="20"/>
            <w:shd w:val="clear" w:color="auto" w:fill="FFFFFF"/>
          </w:rPr>
          <w:t>Abebe</w:t>
        </w:r>
        <w:proofErr w:type="spellEnd"/>
      </w:hyperlink>
      <w:r w:rsidRPr="00A5556D">
        <w:rPr>
          <w:rFonts w:ascii="Arial" w:hAnsi="Arial" w:cs="Arial"/>
          <w:color w:val="000000" w:themeColor="text1"/>
          <w:sz w:val="20"/>
          <w:szCs w:val="20"/>
          <w:shd w:val="clear" w:color="auto" w:fill="FFFFFF"/>
        </w:rPr>
        <w:t>,</w:t>
      </w:r>
      <w:r w:rsidRPr="00A5556D">
        <w:rPr>
          <w:rFonts w:ascii="Arial" w:hAnsi="Arial" w:cs="Arial"/>
          <w:color w:val="000000" w:themeColor="text1"/>
          <w:sz w:val="20"/>
          <w:szCs w:val="20"/>
          <w:shd w:val="clear" w:color="auto" w:fill="FFFFFF"/>
          <w:vertAlign w:val="superscript"/>
        </w:rPr>
        <w:t> </w:t>
      </w:r>
      <w:r w:rsidRPr="00A5556D">
        <w:rPr>
          <w:color w:val="000000" w:themeColor="text1"/>
        </w:rPr>
        <w:t xml:space="preserve"> </w:t>
      </w:r>
      <w:hyperlink r:id="rId8" w:history="1">
        <w:proofErr w:type="spellStart"/>
        <w:r w:rsidRPr="00A5556D">
          <w:rPr>
            <w:rStyle w:val="Hyperlink"/>
            <w:rFonts w:ascii="Arial" w:hAnsi="Arial" w:cs="Arial"/>
            <w:color w:val="000000" w:themeColor="text1"/>
            <w:sz w:val="20"/>
            <w:szCs w:val="20"/>
            <w:shd w:val="clear" w:color="auto" w:fill="FFFFFF"/>
          </w:rPr>
          <w:t>Abigiya</w:t>
        </w:r>
        <w:proofErr w:type="spellEnd"/>
        <w:r w:rsidRPr="00A5556D">
          <w:rPr>
            <w:rStyle w:val="Hyperlink"/>
            <w:rFonts w:ascii="Arial" w:hAnsi="Arial" w:cs="Arial"/>
            <w:color w:val="000000" w:themeColor="text1"/>
            <w:sz w:val="20"/>
            <w:szCs w:val="20"/>
            <w:shd w:val="clear" w:color="auto" w:fill="FFFFFF"/>
          </w:rPr>
          <w:t xml:space="preserve"> </w:t>
        </w:r>
        <w:proofErr w:type="spellStart"/>
        <w:r w:rsidRPr="00A5556D">
          <w:rPr>
            <w:rStyle w:val="Hyperlink"/>
            <w:rFonts w:ascii="Arial" w:hAnsi="Arial" w:cs="Arial"/>
            <w:color w:val="000000" w:themeColor="text1"/>
            <w:sz w:val="20"/>
            <w:szCs w:val="20"/>
            <w:shd w:val="clear" w:color="auto" w:fill="FFFFFF"/>
          </w:rPr>
          <w:t>Wondimagegnehu</w:t>
        </w:r>
        <w:proofErr w:type="spellEnd"/>
      </w:hyperlink>
      <w:r w:rsidRPr="00A5556D">
        <w:rPr>
          <w:rFonts w:ascii="Arial" w:hAnsi="Arial" w:cs="Arial"/>
          <w:color w:val="000000" w:themeColor="text1"/>
          <w:sz w:val="20"/>
          <w:szCs w:val="20"/>
          <w:shd w:val="clear" w:color="auto" w:fill="FFFFFF"/>
        </w:rPr>
        <w:t>,</w:t>
      </w:r>
      <w:r w:rsidRPr="00A5556D">
        <w:rPr>
          <w:rFonts w:ascii="Arial" w:hAnsi="Arial" w:cs="Arial"/>
          <w:color w:val="000000" w:themeColor="text1"/>
          <w:sz w:val="20"/>
          <w:szCs w:val="20"/>
          <w:shd w:val="clear" w:color="auto" w:fill="FFFFFF"/>
          <w:vertAlign w:val="superscript"/>
        </w:rPr>
        <w:t xml:space="preserve"> </w:t>
      </w:r>
      <w:r w:rsidRPr="00A5556D">
        <w:rPr>
          <w:color w:val="000000" w:themeColor="text1"/>
        </w:rPr>
        <w:t xml:space="preserve"> </w:t>
      </w:r>
      <w:hyperlink r:id="rId9" w:history="1">
        <w:proofErr w:type="spellStart"/>
        <w:r w:rsidRPr="00A5556D">
          <w:rPr>
            <w:rStyle w:val="Hyperlink"/>
            <w:rFonts w:ascii="Arial" w:hAnsi="Arial" w:cs="Arial"/>
            <w:color w:val="000000" w:themeColor="text1"/>
            <w:sz w:val="20"/>
            <w:szCs w:val="20"/>
            <w:shd w:val="clear" w:color="auto" w:fill="FFFFFF"/>
          </w:rPr>
          <w:t>Aynalem</w:t>
        </w:r>
        <w:proofErr w:type="spellEnd"/>
        <w:r w:rsidRPr="00A5556D">
          <w:rPr>
            <w:rStyle w:val="Hyperlink"/>
            <w:rFonts w:ascii="Arial" w:hAnsi="Arial" w:cs="Arial"/>
            <w:color w:val="000000" w:themeColor="text1"/>
            <w:sz w:val="20"/>
            <w:szCs w:val="20"/>
            <w:shd w:val="clear" w:color="auto" w:fill="FFFFFF"/>
          </w:rPr>
          <w:t xml:space="preserve"> </w:t>
        </w:r>
        <w:proofErr w:type="spellStart"/>
        <w:r w:rsidRPr="00A5556D">
          <w:rPr>
            <w:rStyle w:val="Hyperlink"/>
            <w:rFonts w:ascii="Arial" w:hAnsi="Arial" w:cs="Arial"/>
            <w:color w:val="000000" w:themeColor="text1"/>
            <w:sz w:val="20"/>
            <w:szCs w:val="20"/>
            <w:shd w:val="clear" w:color="auto" w:fill="FFFFFF"/>
          </w:rPr>
          <w:t>Abraha</w:t>
        </w:r>
        <w:proofErr w:type="spellEnd"/>
        <w:r w:rsidRPr="00A5556D">
          <w:rPr>
            <w:rStyle w:val="Hyperlink"/>
            <w:rFonts w:ascii="Arial" w:hAnsi="Arial" w:cs="Arial"/>
            <w:color w:val="000000" w:themeColor="text1"/>
            <w:sz w:val="20"/>
            <w:szCs w:val="20"/>
            <w:shd w:val="clear" w:color="auto" w:fill="FFFFFF"/>
          </w:rPr>
          <w:t xml:space="preserve"> </w:t>
        </w:r>
        <w:proofErr w:type="spellStart"/>
        <w:r w:rsidRPr="00A5556D">
          <w:rPr>
            <w:rStyle w:val="Hyperlink"/>
            <w:rFonts w:ascii="Arial" w:hAnsi="Arial" w:cs="Arial"/>
            <w:color w:val="000000" w:themeColor="text1"/>
            <w:sz w:val="20"/>
            <w:szCs w:val="20"/>
            <w:shd w:val="clear" w:color="auto" w:fill="FFFFFF"/>
          </w:rPr>
          <w:t>Woldemariam</w:t>
        </w:r>
        <w:proofErr w:type="spellEnd"/>
      </w:hyperlink>
      <w:r w:rsidRPr="00A5556D">
        <w:rPr>
          <w:rFonts w:ascii="Arial" w:hAnsi="Arial" w:cs="Arial"/>
          <w:color w:val="000000" w:themeColor="text1"/>
          <w:sz w:val="20"/>
          <w:szCs w:val="20"/>
          <w:shd w:val="clear" w:color="auto" w:fill="FFFFFF"/>
        </w:rPr>
        <w:t>,</w:t>
      </w:r>
      <w:r w:rsidRPr="00A5556D">
        <w:rPr>
          <w:rFonts w:ascii="Arial" w:hAnsi="Arial" w:cs="Arial"/>
          <w:color w:val="000000" w:themeColor="text1"/>
          <w:sz w:val="20"/>
          <w:szCs w:val="20"/>
          <w:shd w:val="clear" w:color="auto" w:fill="FFFFFF"/>
          <w:vertAlign w:val="superscript"/>
        </w:rPr>
        <w:t> </w:t>
      </w:r>
      <w:proofErr w:type="spellStart"/>
      <w:r w:rsidRPr="00A5556D">
        <w:rPr>
          <w:color w:val="000000" w:themeColor="text1"/>
        </w:rPr>
        <w:fldChar w:fldCharType="begin"/>
      </w:r>
      <w:r w:rsidRPr="00A5556D">
        <w:rPr>
          <w:color w:val="000000" w:themeColor="text1"/>
        </w:rPr>
        <w:instrText xml:space="preserve"> HYPERLINK "https://www.ncbi.nlm.nih.gov/pubmed/?term=Gelaye%20B%5BAuthor%5D&amp;cauthor=true&amp;cauthor_uid=34992454" </w:instrText>
      </w:r>
      <w:r w:rsidRPr="00A5556D">
        <w:rPr>
          <w:color w:val="000000" w:themeColor="text1"/>
        </w:rPr>
        <w:fldChar w:fldCharType="separate"/>
      </w:r>
      <w:r w:rsidRPr="00A5556D">
        <w:rPr>
          <w:rStyle w:val="Hyperlink"/>
          <w:rFonts w:ascii="Arial" w:hAnsi="Arial" w:cs="Arial"/>
          <w:color w:val="000000" w:themeColor="text1"/>
          <w:sz w:val="20"/>
          <w:szCs w:val="20"/>
          <w:shd w:val="clear" w:color="auto" w:fill="FFFFFF"/>
        </w:rPr>
        <w:t>Bizu</w:t>
      </w:r>
      <w:proofErr w:type="spellEnd"/>
      <w:r w:rsidRPr="00A5556D">
        <w:rPr>
          <w:rStyle w:val="Hyperlink"/>
          <w:rFonts w:ascii="Arial" w:hAnsi="Arial" w:cs="Arial"/>
          <w:color w:val="000000" w:themeColor="text1"/>
          <w:sz w:val="20"/>
          <w:szCs w:val="20"/>
          <w:shd w:val="clear" w:color="auto" w:fill="FFFFFF"/>
        </w:rPr>
        <w:t xml:space="preserve"> </w:t>
      </w:r>
      <w:proofErr w:type="spellStart"/>
      <w:r w:rsidRPr="00A5556D">
        <w:rPr>
          <w:rStyle w:val="Hyperlink"/>
          <w:rFonts w:ascii="Arial" w:hAnsi="Arial" w:cs="Arial"/>
          <w:color w:val="000000" w:themeColor="text1"/>
          <w:sz w:val="20"/>
          <w:szCs w:val="20"/>
          <w:shd w:val="clear" w:color="auto" w:fill="FFFFFF"/>
        </w:rPr>
        <w:t>Gelaye</w:t>
      </w:r>
      <w:proofErr w:type="spellEnd"/>
      <w:r w:rsidRPr="00A5556D">
        <w:rPr>
          <w:color w:val="000000" w:themeColor="text1"/>
        </w:rPr>
        <w:fldChar w:fldCharType="end"/>
      </w:r>
      <w:r w:rsidRPr="00A5556D">
        <w:rPr>
          <w:rFonts w:ascii="Arial" w:hAnsi="Arial" w:cs="Arial"/>
          <w:color w:val="000000" w:themeColor="text1"/>
          <w:sz w:val="20"/>
          <w:szCs w:val="20"/>
          <w:shd w:val="clear" w:color="auto" w:fill="FFFFFF"/>
        </w:rPr>
        <w:t>,</w:t>
      </w:r>
      <w:r w:rsidRPr="00A5556D">
        <w:rPr>
          <w:color w:val="000000" w:themeColor="text1"/>
        </w:rPr>
        <w:t xml:space="preserve"> </w:t>
      </w:r>
      <w:hyperlink r:id="rId10" w:history="1">
        <w:r w:rsidRPr="00A5556D">
          <w:rPr>
            <w:rStyle w:val="Hyperlink"/>
            <w:rFonts w:ascii="Arial" w:hAnsi="Arial" w:cs="Arial"/>
            <w:color w:val="000000" w:themeColor="text1"/>
            <w:sz w:val="20"/>
            <w:szCs w:val="20"/>
            <w:shd w:val="clear" w:color="auto" w:fill="FFFFFF"/>
          </w:rPr>
          <w:t xml:space="preserve">Eva Johanna </w:t>
        </w:r>
        <w:proofErr w:type="spellStart"/>
        <w:r w:rsidRPr="00A5556D">
          <w:rPr>
            <w:rStyle w:val="Hyperlink"/>
            <w:rFonts w:ascii="Arial" w:hAnsi="Arial" w:cs="Arial"/>
            <w:color w:val="000000" w:themeColor="text1"/>
            <w:sz w:val="20"/>
            <w:szCs w:val="20"/>
            <w:shd w:val="clear" w:color="auto" w:fill="FFFFFF"/>
          </w:rPr>
          <w:t>Kantelhardt</w:t>
        </w:r>
        <w:proofErr w:type="spellEnd"/>
      </w:hyperlink>
      <w:r w:rsidRPr="00A5556D">
        <w:rPr>
          <w:rFonts w:ascii="Arial" w:hAnsi="Arial" w:cs="Arial"/>
          <w:color w:val="000000" w:themeColor="text1"/>
          <w:sz w:val="20"/>
          <w:szCs w:val="20"/>
          <w:shd w:val="clear" w:color="auto" w:fill="FFFFFF"/>
        </w:rPr>
        <w:t>,</w:t>
      </w:r>
      <w:r w:rsidRPr="00A5556D">
        <w:rPr>
          <w:rFonts w:ascii="Arial" w:hAnsi="Arial" w:cs="Arial"/>
          <w:color w:val="000000" w:themeColor="text1"/>
          <w:sz w:val="20"/>
          <w:szCs w:val="20"/>
          <w:shd w:val="clear" w:color="auto" w:fill="FFFFFF"/>
          <w:vertAlign w:val="superscript"/>
        </w:rPr>
        <w:t> </w:t>
      </w:r>
      <w:r w:rsidRPr="00A5556D">
        <w:rPr>
          <w:rFonts w:ascii="Arial" w:hAnsi="Arial" w:cs="Arial"/>
          <w:color w:val="000000" w:themeColor="text1"/>
          <w:sz w:val="20"/>
          <w:szCs w:val="20"/>
          <w:shd w:val="clear" w:color="auto" w:fill="FFFFFF"/>
        </w:rPr>
        <w:t xml:space="preserve"> and </w:t>
      </w:r>
      <w:proofErr w:type="spellStart"/>
      <w:r w:rsidRPr="00A5556D">
        <w:rPr>
          <w:color w:val="000000" w:themeColor="text1"/>
        </w:rPr>
        <w:fldChar w:fldCharType="begin"/>
      </w:r>
      <w:r w:rsidRPr="00A5556D">
        <w:rPr>
          <w:color w:val="000000" w:themeColor="text1"/>
        </w:rPr>
        <w:instrText xml:space="preserve"> HYPERLINK "https://www.ncbi.nlm.nih.gov/pubmed/?term=Addissie%20A%5BAuthor%5D&amp;cauthor=true&amp;cauthor_uid=34992454" </w:instrText>
      </w:r>
      <w:r w:rsidRPr="00A5556D">
        <w:rPr>
          <w:color w:val="000000" w:themeColor="text1"/>
        </w:rPr>
        <w:fldChar w:fldCharType="separate"/>
      </w:r>
      <w:r w:rsidRPr="00A5556D">
        <w:rPr>
          <w:rStyle w:val="Hyperlink"/>
          <w:rFonts w:ascii="Arial" w:hAnsi="Arial" w:cs="Arial"/>
          <w:color w:val="000000" w:themeColor="text1"/>
          <w:sz w:val="20"/>
          <w:szCs w:val="20"/>
          <w:shd w:val="clear" w:color="auto" w:fill="FFFFFF"/>
        </w:rPr>
        <w:t>Adamu</w:t>
      </w:r>
      <w:proofErr w:type="spellEnd"/>
      <w:r w:rsidRPr="00A5556D">
        <w:rPr>
          <w:rStyle w:val="Hyperlink"/>
          <w:rFonts w:ascii="Arial" w:hAnsi="Arial" w:cs="Arial"/>
          <w:color w:val="000000" w:themeColor="text1"/>
          <w:sz w:val="20"/>
          <w:szCs w:val="20"/>
          <w:shd w:val="clear" w:color="auto" w:fill="FFFFFF"/>
        </w:rPr>
        <w:t xml:space="preserve"> </w:t>
      </w:r>
      <w:proofErr w:type="spellStart"/>
      <w:r w:rsidRPr="00A5556D">
        <w:rPr>
          <w:rStyle w:val="Hyperlink"/>
          <w:rFonts w:ascii="Arial" w:hAnsi="Arial" w:cs="Arial"/>
          <w:color w:val="000000" w:themeColor="text1"/>
          <w:sz w:val="20"/>
          <w:szCs w:val="20"/>
          <w:shd w:val="clear" w:color="auto" w:fill="FFFFFF"/>
        </w:rPr>
        <w:t>Addissie</w:t>
      </w:r>
      <w:proofErr w:type="spellEnd"/>
      <w:r w:rsidRPr="00A5556D">
        <w:rPr>
          <w:color w:val="000000" w:themeColor="text1"/>
        </w:rPr>
        <w:fldChar w:fldCharType="end"/>
      </w:r>
      <w:r w:rsidRPr="00A5556D">
        <w:rPr>
          <w:rFonts w:ascii="Arial" w:hAnsi="Arial" w:cs="Arial"/>
          <w:color w:val="000000" w:themeColor="text1"/>
          <w:sz w:val="20"/>
          <w:szCs w:val="20"/>
          <w:shd w:val="clear" w:color="auto" w:fill="FFFFFF"/>
          <w:vertAlign w:val="superscript"/>
        </w:rPr>
        <w:t>  , </w:t>
      </w:r>
    </w:p>
    <w:p w:rsidR="00AE3E37" w:rsidRPr="00A5556D" w:rsidRDefault="00AE3E37">
      <w:pPr>
        <w:rPr>
          <w:rFonts w:ascii="Arial"/>
          <w:color w:val="000000" w:themeColor="text1"/>
          <w:sz w:val="21"/>
        </w:rPr>
        <w:sectPr w:rsidR="00AE3E37" w:rsidRPr="00A5556D" w:rsidSect="008E5477">
          <w:footerReference w:type="default" r:id="rId11"/>
          <w:type w:val="continuous"/>
          <w:pgSz w:w="11910" w:h="16840"/>
          <w:pgMar w:top="995" w:right="600" w:bottom="840" w:left="620" w:header="0" w:footer="0" w:gutter="0"/>
          <w:cols w:space="720"/>
          <w:docGrid w:linePitch="299"/>
        </w:sectPr>
      </w:pPr>
    </w:p>
    <w:p w:rsidR="00AE3E37" w:rsidRPr="00A5556D" w:rsidRDefault="00A9710C">
      <w:pPr>
        <w:pStyle w:val="Heading3"/>
        <w:spacing w:before="147"/>
        <w:jc w:val="both"/>
        <w:rPr>
          <w:color w:val="000000" w:themeColor="text1"/>
        </w:rPr>
      </w:pPr>
      <w:r w:rsidRPr="00A5556D">
        <w:rPr>
          <w:color w:val="000000" w:themeColor="text1"/>
        </w:rPr>
        <w:lastRenderedPageBreak/>
        <w:t>Abstract</w:t>
      </w:r>
      <w:r w:rsidR="00404E5B" w:rsidRPr="00A5556D">
        <w:rPr>
          <w:color w:val="000000" w:themeColor="text1"/>
        </w:rPr>
        <w:t xml:space="preserve"> (300 word limit)</w:t>
      </w:r>
    </w:p>
    <w:p w:rsidR="00AD0BA7" w:rsidRPr="00A5556D" w:rsidRDefault="00AD0BA7" w:rsidP="00AD0BA7">
      <w:pPr>
        <w:pStyle w:val="Heading3"/>
        <w:shd w:val="clear" w:color="auto" w:fill="FFFFFF"/>
        <w:spacing w:before="308" w:after="154" w:line="300" w:lineRule="atLeast"/>
        <w:jc w:val="both"/>
        <w:rPr>
          <w:b w:val="0"/>
          <w:bCs w:val="0"/>
          <w:color w:val="000000" w:themeColor="text1"/>
        </w:rPr>
      </w:pPr>
      <w:r w:rsidRPr="00A5556D">
        <w:rPr>
          <w:b w:val="0"/>
          <w:bCs w:val="0"/>
          <w:color w:val="000000" w:themeColor="text1"/>
        </w:rPr>
        <w:t xml:space="preserve">Background: </w:t>
      </w:r>
      <w:r w:rsidRPr="00A5556D">
        <w:rPr>
          <w:b w:val="0"/>
          <w:color w:val="000000" w:themeColor="text1"/>
        </w:rPr>
        <w:t xml:space="preserve">The European Organization for Research and Treatment of Cancer – Quality of Life Questionnaire (EORTC-QLQ) developed to assess quality of life among colorectal cancer patients has not been translated into a local language or validated in the Ethiopian context. Therefore, this study aimed to examine the psychometric properties of the EORTC-QLQ-CR29 tool in Ethiopia among colorectal cancer patients. </w:t>
      </w:r>
      <w:r w:rsidRPr="00A5556D">
        <w:rPr>
          <w:b w:val="0"/>
          <w:bCs w:val="0"/>
          <w:color w:val="000000" w:themeColor="text1"/>
        </w:rPr>
        <w:t>Methods:</w:t>
      </w:r>
      <w:r w:rsidR="00A5556D" w:rsidRPr="00A5556D">
        <w:rPr>
          <w:b w:val="0"/>
          <w:bCs w:val="0"/>
          <w:color w:val="000000" w:themeColor="text1"/>
        </w:rPr>
        <w:t xml:space="preserve"> </w:t>
      </w:r>
      <w:r w:rsidRPr="00A5556D">
        <w:rPr>
          <w:b w:val="0"/>
          <w:color w:val="000000" w:themeColor="text1"/>
        </w:rPr>
        <w:t xml:space="preserve">A cross-sectional study was conducted in a major referral hospital in Addis Ababa, Ethiopia, from March to May, 2020. A total of 158 colorectal cancer patients were included. The validity of the tool was assessed using </w:t>
      </w:r>
      <w:proofErr w:type="spellStart"/>
      <w:r w:rsidRPr="00A5556D">
        <w:rPr>
          <w:b w:val="0"/>
          <w:color w:val="000000" w:themeColor="text1"/>
        </w:rPr>
        <w:t>Multitrait</w:t>
      </w:r>
      <w:proofErr w:type="spellEnd"/>
      <w:r w:rsidRPr="00A5556D">
        <w:rPr>
          <w:b w:val="0"/>
          <w:color w:val="000000" w:themeColor="text1"/>
        </w:rPr>
        <w:t xml:space="preserve"> Scale Analysis, Mann–Whitney test and Pearson correlation coefficient. The internal consistency was examined using </w:t>
      </w:r>
      <w:proofErr w:type="spellStart"/>
      <w:r w:rsidRPr="00A5556D">
        <w:rPr>
          <w:b w:val="0"/>
          <w:color w:val="000000" w:themeColor="text1"/>
        </w:rPr>
        <w:t>Cronbach’s</w:t>
      </w:r>
      <w:proofErr w:type="spellEnd"/>
      <w:r w:rsidRPr="00A5556D">
        <w:rPr>
          <w:b w:val="0"/>
          <w:color w:val="000000" w:themeColor="text1"/>
        </w:rPr>
        <w:t xml:space="preserve"> </w:t>
      </w:r>
      <w:proofErr w:type="spellStart"/>
      <w:r w:rsidRPr="00A5556D">
        <w:rPr>
          <w:b w:val="0"/>
          <w:color w:val="000000" w:themeColor="text1"/>
        </w:rPr>
        <w:t>alpha.</w:t>
      </w:r>
      <w:r w:rsidRPr="00A5556D">
        <w:rPr>
          <w:b w:val="0"/>
          <w:bCs w:val="0"/>
          <w:color w:val="000000" w:themeColor="text1"/>
        </w:rPr>
        <w:t>Results</w:t>
      </w:r>
      <w:proofErr w:type="spellEnd"/>
      <w:r w:rsidRPr="00A5556D">
        <w:rPr>
          <w:b w:val="0"/>
          <w:color w:val="000000" w:themeColor="text1"/>
        </w:rPr>
        <w:t xml:space="preserve">: Among the participants, 52.2% were men, with a median age of 46 years (IQR = 17.7 years). The item-total correlation alpha values ranged from 0.47 to 0.91. </w:t>
      </w:r>
      <w:proofErr w:type="spellStart"/>
      <w:r w:rsidRPr="00A5556D">
        <w:rPr>
          <w:b w:val="0"/>
          <w:color w:val="000000" w:themeColor="text1"/>
        </w:rPr>
        <w:t>Multitrait</w:t>
      </w:r>
      <w:proofErr w:type="spellEnd"/>
      <w:r w:rsidRPr="00A5556D">
        <w:rPr>
          <w:b w:val="0"/>
          <w:color w:val="000000" w:themeColor="text1"/>
        </w:rPr>
        <w:t xml:space="preserve"> Scale Analysis demonstrated convergent and divergent validity of the tool, except for the Blood and Mucus in Stool scale. All item correlations within their scales were greater than 0.4, except for the Blood and Mucus in Stool scale. The values of correlation coefficients between all items and their own domain were higher than other domains, except for the Blood and Mucus in Stool scale. The correlation between the core questionnaire and the colorectal tool ranged from −0.45 to 0.58. The tool showed a significant difference between stoma and non-stoma patients and between patients who had good physical function and those who did not.</w:t>
      </w:r>
      <w:r w:rsidRPr="00A5556D">
        <w:rPr>
          <w:b w:val="0"/>
          <w:bCs w:val="0"/>
          <w:color w:val="000000" w:themeColor="text1"/>
        </w:rPr>
        <w:t xml:space="preserve"> </w:t>
      </w:r>
      <w:proofErr w:type="spellStart"/>
      <w:r w:rsidRPr="00A5556D">
        <w:rPr>
          <w:b w:val="0"/>
          <w:bCs w:val="0"/>
          <w:color w:val="000000" w:themeColor="text1"/>
        </w:rPr>
        <w:t>Conclusion</w:t>
      </w:r>
      <w:proofErr w:type="gramStart"/>
      <w:r w:rsidRPr="00A5556D">
        <w:rPr>
          <w:b w:val="0"/>
          <w:bCs w:val="0"/>
          <w:color w:val="000000" w:themeColor="text1"/>
        </w:rPr>
        <w:t>:</w:t>
      </w:r>
      <w:r w:rsidRPr="00A5556D">
        <w:rPr>
          <w:b w:val="0"/>
          <w:color w:val="000000" w:themeColor="text1"/>
        </w:rPr>
        <w:t>The</w:t>
      </w:r>
      <w:proofErr w:type="spellEnd"/>
      <w:proofErr w:type="gramEnd"/>
      <w:r w:rsidRPr="00A5556D">
        <w:rPr>
          <w:b w:val="0"/>
          <w:color w:val="000000" w:themeColor="text1"/>
        </w:rPr>
        <w:t xml:space="preserve"> Amharic version of the EORTC-QLQ-CR29 tool can be used to assess the health-related quality of life in Ethiopian colorectal cancer patients</w:t>
      </w:r>
    </w:p>
    <w:p w:rsidR="00AE3E37" w:rsidRPr="00A5556D" w:rsidRDefault="00A9710C" w:rsidP="00AD0BA7">
      <w:pPr>
        <w:pStyle w:val="Heading3"/>
        <w:spacing w:before="74"/>
        <w:rPr>
          <w:b w:val="0"/>
          <w:color w:val="000000" w:themeColor="text1"/>
          <w:sz w:val="16"/>
        </w:rPr>
      </w:pPr>
      <w:r w:rsidRPr="00A5556D">
        <w:rPr>
          <w:b w:val="0"/>
          <w:color w:val="000000" w:themeColor="text1"/>
        </w:rPr>
        <w:br w:type="column"/>
      </w:r>
    </w:p>
    <w:p w:rsidR="005973B9" w:rsidRPr="00A5556D" w:rsidRDefault="005973B9" w:rsidP="005973B9">
      <w:pPr>
        <w:spacing w:line="204" w:lineRule="exact"/>
        <w:rPr>
          <w:rFonts w:ascii="Arial"/>
          <w:b/>
          <w:color w:val="000000" w:themeColor="text1"/>
          <w:sz w:val="20"/>
        </w:rPr>
      </w:pPr>
      <w:r w:rsidRPr="00A5556D">
        <w:rPr>
          <w:rFonts w:ascii="Arial"/>
          <w:b/>
          <w:color w:val="000000" w:themeColor="text1"/>
          <w:sz w:val="20"/>
        </w:rPr>
        <w:br/>
        <w:t xml:space="preserve">Recent Publications </w:t>
      </w:r>
    </w:p>
    <w:p w:rsidR="005973B9" w:rsidRPr="00A5556D" w:rsidRDefault="00AD0BA7" w:rsidP="005973B9">
      <w:pPr>
        <w:pStyle w:val="ListParagraph"/>
        <w:numPr>
          <w:ilvl w:val="0"/>
          <w:numId w:val="3"/>
        </w:numPr>
        <w:tabs>
          <w:tab w:val="left" w:pos="384"/>
        </w:tabs>
        <w:spacing w:before="103" w:line="216" w:lineRule="exact"/>
        <w:ind w:right="138" w:hanging="283"/>
        <w:rPr>
          <w:color w:val="000000" w:themeColor="text1"/>
          <w:sz w:val="18"/>
        </w:rPr>
      </w:pPr>
      <w:proofErr w:type="spellStart"/>
      <w:r w:rsidRPr="00A5556D">
        <w:rPr>
          <w:color w:val="000000" w:themeColor="text1"/>
          <w:sz w:val="18"/>
        </w:rPr>
        <w:t>Abebe</w:t>
      </w:r>
      <w:proofErr w:type="spellEnd"/>
      <w:r w:rsidRPr="00A5556D">
        <w:rPr>
          <w:color w:val="000000" w:themeColor="text1"/>
          <w:sz w:val="18"/>
        </w:rPr>
        <w:t xml:space="preserve">, L. G., </w:t>
      </w:r>
      <w:proofErr w:type="spellStart"/>
      <w:r w:rsidRPr="00A5556D">
        <w:rPr>
          <w:color w:val="000000" w:themeColor="text1"/>
          <w:sz w:val="18"/>
        </w:rPr>
        <w:t>Wondimagegnehu</w:t>
      </w:r>
      <w:proofErr w:type="spellEnd"/>
      <w:r w:rsidRPr="00A5556D">
        <w:rPr>
          <w:color w:val="000000" w:themeColor="text1"/>
          <w:sz w:val="18"/>
        </w:rPr>
        <w:t xml:space="preserve">, A., </w:t>
      </w:r>
      <w:proofErr w:type="spellStart"/>
      <w:r w:rsidRPr="00A5556D">
        <w:rPr>
          <w:color w:val="000000" w:themeColor="text1"/>
          <w:sz w:val="18"/>
        </w:rPr>
        <w:t>Woldemariam</w:t>
      </w:r>
      <w:proofErr w:type="spellEnd"/>
      <w:r w:rsidRPr="00A5556D">
        <w:rPr>
          <w:color w:val="000000" w:themeColor="text1"/>
          <w:sz w:val="18"/>
        </w:rPr>
        <w:t xml:space="preserve">, A. A., </w:t>
      </w:r>
      <w:proofErr w:type="spellStart"/>
      <w:r w:rsidRPr="00A5556D">
        <w:rPr>
          <w:color w:val="000000" w:themeColor="text1"/>
          <w:sz w:val="18"/>
        </w:rPr>
        <w:t>Gelaye</w:t>
      </w:r>
      <w:proofErr w:type="spellEnd"/>
      <w:r w:rsidRPr="00A5556D">
        <w:rPr>
          <w:color w:val="000000" w:themeColor="text1"/>
          <w:sz w:val="18"/>
        </w:rPr>
        <w:t xml:space="preserve">, B., </w:t>
      </w:r>
      <w:proofErr w:type="spellStart"/>
      <w:r w:rsidRPr="00A5556D">
        <w:rPr>
          <w:color w:val="000000" w:themeColor="text1"/>
          <w:sz w:val="18"/>
        </w:rPr>
        <w:t>Kantelhardt</w:t>
      </w:r>
      <w:proofErr w:type="spellEnd"/>
      <w:r w:rsidRPr="00A5556D">
        <w:rPr>
          <w:color w:val="000000" w:themeColor="text1"/>
          <w:sz w:val="18"/>
        </w:rPr>
        <w:t xml:space="preserve">, E. J., &amp; </w:t>
      </w:r>
      <w:proofErr w:type="spellStart"/>
      <w:r w:rsidRPr="00A5556D">
        <w:rPr>
          <w:color w:val="000000" w:themeColor="text1"/>
          <w:sz w:val="18"/>
        </w:rPr>
        <w:t>Addissie</w:t>
      </w:r>
      <w:proofErr w:type="spellEnd"/>
      <w:r w:rsidRPr="00A5556D">
        <w:rPr>
          <w:color w:val="000000" w:themeColor="text1"/>
          <w:sz w:val="18"/>
        </w:rPr>
        <w:t xml:space="preserve">, A. (2021). Validity and Reliability of the Amharic Version of EORTC-QLQ-CR29 </w:t>
      </w:r>
      <w:proofErr w:type="gramStart"/>
      <w:r w:rsidRPr="00A5556D">
        <w:rPr>
          <w:color w:val="000000" w:themeColor="text1"/>
          <w:sz w:val="18"/>
        </w:rPr>
        <w:t>Among</w:t>
      </w:r>
      <w:proofErr w:type="gramEnd"/>
      <w:r w:rsidRPr="00A5556D">
        <w:rPr>
          <w:color w:val="000000" w:themeColor="text1"/>
          <w:sz w:val="18"/>
        </w:rPr>
        <w:t xml:space="preserve"> Colorectal Cancer Patients in Ethiopia. Cancer management and research, 13, 9287–9295. </w:t>
      </w:r>
    </w:p>
    <w:p w:rsidR="00331799" w:rsidRPr="00A5556D" w:rsidRDefault="00331799" w:rsidP="00331799">
      <w:pPr>
        <w:pStyle w:val="ListParagraph"/>
        <w:numPr>
          <w:ilvl w:val="0"/>
          <w:numId w:val="3"/>
        </w:numPr>
        <w:shd w:val="clear" w:color="auto" w:fill="FFFFFF"/>
        <w:spacing w:line="319" w:lineRule="atLeast"/>
        <w:textAlignment w:val="baseline"/>
        <w:rPr>
          <w:color w:val="000000" w:themeColor="text1"/>
          <w:sz w:val="18"/>
        </w:rPr>
      </w:pPr>
      <w:proofErr w:type="spellStart"/>
      <w:r w:rsidRPr="00A5556D">
        <w:rPr>
          <w:color w:val="000000" w:themeColor="text1"/>
          <w:sz w:val="18"/>
        </w:rPr>
        <w:t>Argaw</w:t>
      </w:r>
      <w:proofErr w:type="spellEnd"/>
      <w:r w:rsidRPr="00A5556D">
        <w:rPr>
          <w:color w:val="000000" w:themeColor="text1"/>
          <w:sz w:val="18"/>
        </w:rPr>
        <w:t>, M. D., Desta B. F., </w:t>
      </w:r>
      <w:proofErr w:type="spellStart"/>
      <w:r w:rsidRPr="00A5556D">
        <w:rPr>
          <w:color w:val="000000" w:themeColor="text1"/>
          <w:sz w:val="18"/>
        </w:rPr>
        <w:t>Mamo</w:t>
      </w:r>
      <w:proofErr w:type="spellEnd"/>
      <w:r w:rsidRPr="00A5556D">
        <w:rPr>
          <w:color w:val="000000" w:themeColor="text1"/>
          <w:sz w:val="18"/>
        </w:rPr>
        <w:t>, Elias., </w:t>
      </w:r>
      <w:proofErr w:type="spellStart"/>
      <w:r w:rsidRPr="00A5556D">
        <w:rPr>
          <w:color w:val="000000" w:themeColor="text1"/>
          <w:sz w:val="18"/>
        </w:rPr>
        <w:t>Abebe</w:t>
      </w:r>
      <w:proofErr w:type="spellEnd"/>
      <w:r w:rsidRPr="00A5556D">
        <w:rPr>
          <w:color w:val="000000" w:themeColor="text1"/>
          <w:sz w:val="18"/>
        </w:rPr>
        <w:t>, M. G., Rogers, D., </w:t>
      </w:r>
      <w:proofErr w:type="spellStart"/>
      <w:r w:rsidRPr="00A5556D">
        <w:rPr>
          <w:color w:val="000000" w:themeColor="text1"/>
          <w:sz w:val="18"/>
        </w:rPr>
        <w:t>Demelash</w:t>
      </w:r>
      <w:proofErr w:type="spellEnd"/>
      <w:r w:rsidRPr="00A5556D">
        <w:rPr>
          <w:color w:val="000000" w:themeColor="text1"/>
          <w:sz w:val="18"/>
        </w:rPr>
        <w:t>, A., </w:t>
      </w:r>
      <w:proofErr w:type="spellStart"/>
      <w:r w:rsidRPr="00A5556D">
        <w:rPr>
          <w:color w:val="000000" w:themeColor="text1"/>
          <w:sz w:val="18"/>
        </w:rPr>
        <w:t>etal</w:t>
      </w:r>
      <w:proofErr w:type="spellEnd"/>
      <w:r w:rsidRPr="00A5556D">
        <w:rPr>
          <w:color w:val="000000" w:themeColor="text1"/>
          <w:sz w:val="18"/>
        </w:rPr>
        <w:t xml:space="preserve"> (2021).Implementing a Social Accountability Approach for Maternal, Neonatal, and Child Health Service Performances in Ethiopia: A Pre-Post Study Design. Global Health: Science and Practice,</w:t>
      </w:r>
      <w:r w:rsidR="000565AD" w:rsidRPr="00A5556D">
        <w:rPr>
          <w:color w:val="000000" w:themeColor="text1"/>
          <w:sz w:val="18"/>
        </w:rPr>
        <w:t xml:space="preserve"> </w:t>
      </w:r>
      <w:r w:rsidRPr="00A5556D">
        <w:rPr>
          <w:color w:val="000000" w:themeColor="text1"/>
          <w:sz w:val="18"/>
        </w:rPr>
        <w:t>123-135.</w:t>
      </w:r>
    </w:p>
    <w:p w:rsidR="005973B9" w:rsidRPr="00A5556D" w:rsidRDefault="00331799" w:rsidP="000565AD">
      <w:pPr>
        <w:pStyle w:val="Default"/>
        <w:numPr>
          <w:ilvl w:val="0"/>
          <w:numId w:val="3"/>
        </w:numPr>
        <w:jc w:val="both"/>
        <w:rPr>
          <w:rFonts w:ascii="Calibri" w:eastAsia="Calibri" w:hAnsi="Calibri" w:cs="Calibri"/>
          <w:color w:val="000000" w:themeColor="text1"/>
          <w:sz w:val="18"/>
          <w:szCs w:val="22"/>
        </w:rPr>
      </w:pPr>
      <w:proofErr w:type="spellStart"/>
      <w:r w:rsidRPr="00A5556D">
        <w:rPr>
          <w:rFonts w:ascii="Calibri" w:eastAsia="Calibri" w:hAnsi="Calibri" w:cs="Calibri"/>
          <w:color w:val="000000" w:themeColor="text1"/>
          <w:sz w:val="18"/>
          <w:szCs w:val="22"/>
        </w:rPr>
        <w:t>Hailemichael</w:t>
      </w:r>
      <w:proofErr w:type="spellEnd"/>
      <w:r w:rsidRPr="00A5556D">
        <w:rPr>
          <w:rFonts w:ascii="Calibri" w:eastAsia="Calibri" w:hAnsi="Calibri" w:cs="Calibri"/>
          <w:color w:val="000000" w:themeColor="text1"/>
          <w:sz w:val="18"/>
          <w:szCs w:val="22"/>
        </w:rPr>
        <w:t xml:space="preserve">, A., </w:t>
      </w:r>
      <w:proofErr w:type="spellStart"/>
      <w:r w:rsidRPr="00A5556D">
        <w:rPr>
          <w:rFonts w:ascii="Calibri" w:eastAsia="Calibri" w:hAnsi="Calibri" w:cs="Calibri"/>
          <w:color w:val="000000" w:themeColor="text1"/>
          <w:sz w:val="18"/>
          <w:szCs w:val="22"/>
        </w:rPr>
        <w:t>Belayihun</w:t>
      </w:r>
      <w:proofErr w:type="spellEnd"/>
      <w:r w:rsidRPr="00A5556D">
        <w:rPr>
          <w:rFonts w:ascii="Calibri" w:eastAsia="Calibri" w:hAnsi="Calibri" w:cs="Calibri"/>
          <w:color w:val="000000" w:themeColor="text1"/>
          <w:sz w:val="18"/>
          <w:szCs w:val="22"/>
        </w:rPr>
        <w:t xml:space="preserve">, B., </w:t>
      </w:r>
      <w:proofErr w:type="spellStart"/>
      <w:r w:rsidRPr="00A5556D">
        <w:rPr>
          <w:rFonts w:ascii="Calibri" w:eastAsia="Calibri" w:hAnsi="Calibri" w:cs="Calibri"/>
          <w:color w:val="000000" w:themeColor="text1"/>
          <w:sz w:val="18"/>
          <w:szCs w:val="22"/>
        </w:rPr>
        <w:t>Asnake</w:t>
      </w:r>
      <w:proofErr w:type="spellEnd"/>
      <w:r w:rsidRPr="00A5556D">
        <w:rPr>
          <w:rFonts w:ascii="Calibri" w:eastAsia="Calibri" w:hAnsi="Calibri" w:cs="Calibri"/>
          <w:color w:val="000000" w:themeColor="text1"/>
          <w:sz w:val="18"/>
          <w:szCs w:val="22"/>
        </w:rPr>
        <w:t xml:space="preserve">, M., Lulu, K., Desta, B. F., Genene, L., </w:t>
      </w:r>
      <w:proofErr w:type="spellStart"/>
      <w:r w:rsidRPr="00A5556D">
        <w:rPr>
          <w:rFonts w:ascii="Calibri" w:eastAsia="Calibri" w:hAnsi="Calibri" w:cs="Calibri"/>
          <w:color w:val="000000" w:themeColor="text1"/>
          <w:sz w:val="18"/>
          <w:szCs w:val="22"/>
        </w:rPr>
        <w:t>etal</w:t>
      </w:r>
      <w:proofErr w:type="spellEnd"/>
      <w:r w:rsidRPr="00A5556D">
        <w:rPr>
          <w:rFonts w:ascii="Calibri" w:eastAsia="Calibri" w:hAnsi="Calibri" w:cs="Calibri"/>
          <w:color w:val="000000" w:themeColor="text1"/>
          <w:sz w:val="18"/>
          <w:szCs w:val="22"/>
        </w:rPr>
        <w:t xml:space="preserve">. </w:t>
      </w:r>
      <w:r w:rsidR="000565AD" w:rsidRPr="00A5556D">
        <w:rPr>
          <w:rFonts w:ascii="Calibri" w:eastAsia="Calibri" w:hAnsi="Calibri" w:cs="Calibri"/>
          <w:color w:val="000000" w:themeColor="text1"/>
          <w:sz w:val="18"/>
          <w:szCs w:val="22"/>
        </w:rPr>
        <w:t>(2021).</w:t>
      </w:r>
      <w:r w:rsidRPr="00A5556D">
        <w:rPr>
          <w:rFonts w:ascii="Calibri" w:eastAsia="Calibri" w:hAnsi="Calibri" w:cs="Calibri"/>
          <w:color w:val="000000" w:themeColor="text1"/>
          <w:sz w:val="18"/>
          <w:szCs w:val="22"/>
        </w:rPr>
        <w:t xml:space="preserve"> </w:t>
      </w:r>
      <w:r w:rsidR="000565AD" w:rsidRPr="00A5556D">
        <w:rPr>
          <w:rFonts w:ascii="Calibri" w:eastAsia="Calibri" w:hAnsi="Calibri" w:cs="Calibri"/>
          <w:color w:val="000000" w:themeColor="text1"/>
          <w:sz w:val="18"/>
          <w:szCs w:val="22"/>
        </w:rPr>
        <w:t xml:space="preserve">  Referral Service Barriers in Ethiopia: experiences and perceptions of actors. Ethiop. J. Health Dev. 35 (SI-5)</w:t>
      </w:r>
    </w:p>
    <w:p w:rsidR="00AE3E37" w:rsidRPr="00A5556D" w:rsidRDefault="00AE3E37" w:rsidP="008756E6">
      <w:pPr>
        <w:tabs>
          <w:tab w:val="left" w:pos="384"/>
        </w:tabs>
        <w:ind w:right="117"/>
        <w:rPr>
          <w:color w:val="000000" w:themeColor="text1"/>
        </w:rPr>
      </w:pPr>
    </w:p>
    <w:p w:rsidR="00AE3E37" w:rsidRPr="00A5556D" w:rsidRDefault="008756E6">
      <w:pPr>
        <w:spacing w:line="200" w:lineRule="exact"/>
        <w:jc w:val="both"/>
        <w:rPr>
          <w:rFonts w:ascii="Calibri" w:hAnsi="Calibri"/>
          <w:color w:val="000000" w:themeColor="text1"/>
        </w:rPr>
        <w:sectPr w:rsidR="00AE3E37" w:rsidRPr="00A5556D" w:rsidSect="008E5477">
          <w:type w:val="continuous"/>
          <w:pgSz w:w="11910" w:h="16840"/>
          <w:pgMar w:top="995" w:right="600" w:bottom="840" w:left="620" w:header="720" w:footer="720" w:gutter="0"/>
          <w:cols w:num="2" w:space="720" w:equalWidth="0">
            <w:col w:w="5214" w:space="138"/>
            <w:col w:w="5338"/>
          </w:cols>
        </w:sectPr>
      </w:pPr>
      <w:r w:rsidRPr="00A5556D">
        <w:rPr>
          <w:rFonts w:ascii="Calibri" w:hAnsi="Calibri"/>
          <w:color w:val="000000" w:themeColor="text1"/>
        </w:rPr>
        <w:t xml:space="preserve">   </w:t>
      </w:r>
    </w:p>
    <w:p w:rsidR="00AE3E37" w:rsidRDefault="00AE3E37">
      <w:pPr>
        <w:pStyle w:val="BodyText"/>
        <w:rPr>
          <w:rFonts w:ascii="Calibri"/>
          <w:sz w:val="20"/>
        </w:rPr>
      </w:pPr>
    </w:p>
    <w:p w:rsidR="00AE3E37" w:rsidRDefault="00920109">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994E9F">
        <w:rPr>
          <w:noProof/>
        </w:rPr>
        <w:drawing>
          <wp:inline distT="0" distB="0" distL="0" distR="0">
            <wp:extent cx="628582" cy="619125"/>
            <wp:effectExtent l="19050" t="0" r="68" b="0"/>
            <wp:docPr id="2" name="Picture 2" descr="C:\Users\Amele\Desktop\Lid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ele\Desktop\Lidya.jpg"/>
                    <pic:cNvPicPr>
                      <a:picLocks noChangeAspect="1" noChangeArrowheads="1"/>
                    </pic:cNvPicPr>
                  </pic:nvPicPr>
                  <pic:blipFill>
                    <a:blip r:embed="rId12" cstate="print"/>
                    <a:srcRect/>
                    <a:stretch>
                      <a:fillRect/>
                    </a:stretch>
                  </pic:blipFill>
                  <pic:spPr bwMode="auto">
                    <a:xfrm>
                      <a:off x="0" y="0"/>
                      <a:ext cx="632603" cy="623085"/>
                    </a:xfrm>
                    <a:prstGeom prst="rect">
                      <a:avLst/>
                    </a:prstGeom>
                    <a:noFill/>
                    <a:ln w="9525">
                      <a:noFill/>
                      <a:miter lim="800000"/>
                      <a:headEnd/>
                      <a:tailEnd/>
                    </a:ln>
                  </pic:spPr>
                </pic:pic>
              </a:graphicData>
            </a:graphic>
          </wp:inline>
        </w:drawing>
      </w:r>
      <w:r w:rsidR="00994E9F">
        <w:rPr>
          <w:noProof/>
        </w:rPr>
        <w:t xml:space="preserve">  </w:t>
      </w:r>
    </w:p>
    <w:p w:rsidR="00AE3E37" w:rsidRDefault="000565AD">
      <w:pPr>
        <w:spacing w:before="41" w:line="154" w:lineRule="exact"/>
        <w:ind w:left="213" w:right="231"/>
        <w:jc w:val="both"/>
        <w:rPr>
          <w:rFonts w:ascii="Arial"/>
          <w:sz w:val="14"/>
        </w:rPr>
      </w:pPr>
      <w:r>
        <w:rPr>
          <w:rFonts w:ascii="Arial"/>
          <w:sz w:val="14"/>
        </w:rPr>
        <w:t xml:space="preserve">Lidya Genene is a lecturer at Addis Ababa University. She has three years of experience in teaching, supervising, advising and research. Her key research areas are non-communicable diseases. She is open to learn and benefit from other experts in the area. </w:t>
      </w:r>
    </w:p>
    <w:p w:rsidR="00AE3E37" w:rsidRDefault="00A9710C">
      <w:pPr>
        <w:spacing w:before="62"/>
        <w:ind w:left="4217" w:right="4235"/>
        <w:jc w:val="center"/>
        <w:rPr>
          <w:rFonts w:ascii="Arial"/>
          <w:sz w:val="14"/>
        </w:rPr>
      </w:pPr>
      <w:r>
        <w:rPr>
          <w:rFonts w:ascii="Arial"/>
          <w:sz w:val="14"/>
        </w:rPr>
        <w:t>Email:</w:t>
      </w:r>
      <w:r w:rsidR="000565AD" w:rsidRPr="000565AD">
        <w:rPr>
          <w:rFonts w:ascii="Arial"/>
          <w:sz w:val="14"/>
        </w:rPr>
        <w:t>lidyagenene@gmail.com</w:t>
      </w:r>
    </w:p>
    <w:p w:rsidR="00AE3E37" w:rsidRDefault="00920109">
      <w:pPr>
        <w:pStyle w:val="BodyText"/>
        <w:spacing w:before="2"/>
        <w:rPr>
          <w:rFonts w:ascii="Arial"/>
          <w:sz w:val="19"/>
        </w:rPr>
      </w:pPr>
      <w:r w:rsidRPr="00920109">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964" w:rsidRDefault="00423964">
      <w:r>
        <w:separator/>
      </w:r>
    </w:p>
  </w:endnote>
  <w:endnote w:type="continuationSeparator" w:id="0">
    <w:p w:rsidR="00423964" w:rsidRDefault="004239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20109">
    <w:pPr>
      <w:pStyle w:val="BodyText"/>
      <w:spacing w:line="14" w:lineRule="auto"/>
      <w:rPr>
        <w:sz w:val="20"/>
      </w:rPr>
    </w:pPr>
    <w:r w:rsidRPr="00920109">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20109">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20109">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964" w:rsidRDefault="00423964">
      <w:r>
        <w:separator/>
      </w:r>
    </w:p>
  </w:footnote>
  <w:footnote w:type="continuationSeparator" w:id="0">
    <w:p w:rsidR="00423964" w:rsidRDefault="004239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F48C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534A1"/>
    <w:rsid w:val="000565AD"/>
    <w:rsid w:val="0006797A"/>
    <w:rsid w:val="000B4CAA"/>
    <w:rsid w:val="000E2911"/>
    <w:rsid w:val="001263DF"/>
    <w:rsid w:val="00292ED9"/>
    <w:rsid w:val="00331799"/>
    <w:rsid w:val="00351D9B"/>
    <w:rsid w:val="00380299"/>
    <w:rsid w:val="00404E5B"/>
    <w:rsid w:val="00414F7B"/>
    <w:rsid w:val="00423964"/>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20109"/>
    <w:rsid w:val="00994E9F"/>
    <w:rsid w:val="009B2D44"/>
    <w:rsid w:val="00A07E82"/>
    <w:rsid w:val="00A52075"/>
    <w:rsid w:val="00A5556D"/>
    <w:rsid w:val="00A9710C"/>
    <w:rsid w:val="00AD0BA7"/>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
    <w:name w:val="p"/>
    <w:basedOn w:val="Normal"/>
    <w:rsid w:val="00AD0BA7"/>
    <w:pPr>
      <w:widowControl/>
      <w:spacing w:before="100" w:beforeAutospacing="1" w:after="100" w:afterAutospacing="1"/>
    </w:pPr>
    <w:rPr>
      <w:rFonts w:ascii="Times New Roman" w:eastAsia="Times New Roman" w:hAnsi="Times New Roman" w:cs="Times New Roman"/>
      <w:sz w:val="24"/>
      <w:szCs w:val="24"/>
    </w:rPr>
  </w:style>
  <w:style w:type="character" w:customStyle="1" w:styleId="element-invisible">
    <w:name w:val="element-invisible"/>
    <w:basedOn w:val="DefaultParagraphFont"/>
    <w:rsid w:val="00331799"/>
  </w:style>
  <w:style w:type="character" w:customStyle="1" w:styleId="highwire-citation-authors">
    <w:name w:val="highwire-citation-authors"/>
    <w:basedOn w:val="DefaultParagraphFont"/>
    <w:rsid w:val="00331799"/>
  </w:style>
  <w:style w:type="character" w:customStyle="1" w:styleId="highwire-citation-author">
    <w:name w:val="highwire-citation-author"/>
    <w:basedOn w:val="DefaultParagraphFont"/>
    <w:rsid w:val="00331799"/>
  </w:style>
  <w:style w:type="character" w:customStyle="1" w:styleId="highwire-cite-metadata-journal">
    <w:name w:val="highwire-cite-metadata-journal"/>
    <w:basedOn w:val="DefaultParagraphFont"/>
    <w:rsid w:val="00331799"/>
  </w:style>
  <w:style w:type="character" w:customStyle="1" w:styleId="highwire-cite-metadata-date">
    <w:name w:val="highwire-cite-metadata-date"/>
    <w:basedOn w:val="DefaultParagraphFont"/>
    <w:rsid w:val="00331799"/>
  </w:style>
  <w:style w:type="character" w:customStyle="1" w:styleId="highwire-cite-metadata-vol-iss-page">
    <w:name w:val="highwire-cite-metadata-vol-iss-page"/>
    <w:basedOn w:val="DefaultParagraphFont"/>
    <w:rsid w:val="00331799"/>
  </w:style>
  <w:style w:type="paragraph" w:customStyle="1" w:styleId="Default">
    <w:name w:val="Default"/>
    <w:rsid w:val="00331799"/>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365567706">
      <w:bodyDiv w:val="1"/>
      <w:marLeft w:val="0"/>
      <w:marRight w:val="0"/>
      <w:marTop w:val="0"/>
      <w:marBottom w:val="0"/>
      <w:divBdr>
        <w:top w:val="none" w:sz="0" w:space="0" w:color="auto"/>
        <w:left w:val="none" w:sz="0" w:space="0" w:color="auto"/>
        <w:bottom w:val="none" w:sz="0" w:space="0" w:color="auto"/>
        <w:right w:val="none" w:sz="0" w:space="0" w:color="auto"/>
      </w:divBdr>
      <w:divsChild>
        <w:div w:id="407726702">
          <w:marLeft w:val="-30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5832123">
      <w:bodyDiv w:val="1"/>
      <w:marLeft w:val="0"/>
      <w:marRight w:val="0"/>
      <w:marTop w:val="0"/>
      <w:marBottom w:val="0"/>
      <w:divBdr>
        <w:top w:val="none" w:sz="0" w:space="0" w:color="auto"/>
        <w:left w:val="none" w:sz="0" w:space="0" w:color="auto"/>
        <w:bottom w:val="none" w:sz="0" w:space="0" w:color="auto"/>
        <w:right w:val="none" w:sz="0" w:space="0" w:color="auto"/>
      </w:divBdr>
    </w:div>
    <w:div w:id="1784693865">
      <w:bodyDiv w:val="1"/>
      <w:marLeft w:val="0"/>
      <w:marRight w:val="0"/>
      <w:marTop w:val="0"/>
      <w:marBottom w:val="0"/>
      <w:divBdr>
        <w:top w:val="none" w:sz="0" w:space="0" w:color="auto"/>
        <w:left w:val="none" w:sz="0" w:space="0" w:color="auto"/>
        <w:bottom w:val="none" w:sz="0" w:space="0" w:color="auto"/>
        <w:right w:val="none" w:sz="0" w:space="0" w:color="auto"/>
      </w:divBdr>
      <w:divsChild>
        <w:div w:id="1891725619">
          <w:marLeft w:val="0"/>
          <w:marRight w:val="0"/>
          <w:marTop w:val="75"/>
          <w:marBottom w:val="0"/>
          <w:divBdr>
            <w:top w:val="none" w:sz="0" w:space="0" w:color="auto"/>
            <w:left w:val="none" w:sz="0" w:space="0" w:color="auto"/>
            <w:bottom w:val="none" w:sz="0" w:space="0" w:color="auto"/>
            <w:right w:val="none" w:sz="0" w:space="0" w:color="auto"/>
          </w:divBdr>
        </w:div>
      </w:divsChild>
    </w:div>
    <w:div w:id="1971206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Wondimagegnehu%20A%5BAuthor%5D&amp;cauthor=true&amp;cauthor_uid=3499245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term=Abebe%20LG%5BAuthor%5D&amp;cauthor=true&amp;cauthor_uid=34992454"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ncbi.nlm.nih.gov/pubmed/?term=Kantelhardt%20EJ%5BAuthor%5D&amp;cauthor=true&amp;cauthor_uid=34992454" TargetMode="External"/><Relationship Id="rId4" Type="http://schemas.openxmlformats.org/officeDocument/2006/relationships/webSettings" Target="webSettings.xml"/><Relationship Id="rId9" Type="http://schemas.openxmlformats.org/officeDocument/2006/relationships/hyperlink" Target="https://www.ncbi.nlm.nih.gov/pubmed/?term=Woldemariam%20AA%5BAuthor%5D&amp;cauthor=true&amp;cauthor_uid=3499245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Lidya</cp:lastModifiedBy>
  <cp:revision>3</cp:revision>
  <dcterms:created xsi:type="dcterms:W3CDTF">2022-01-13T09:47:00Z</dcterms:created>
  <dcterms:modified xsi:type="dcterms:W3CDTF">2022-01-13T09:48:00Z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