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The influence of habitual and non-habitual emotional regulation on the implementation of estimation strategies</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In recent years, the study of the relationship between emotional regulation and cognition has become an important research area, and emotional regulation has an important impact on decision-making, reasoning and other advanced cognitive activities. However, the current research on the relationship between emotional regulation strategies and higher cognitive activities is mainly the study of immediate emotion regulation under experimental operation. According to the American psychologist Gross, in daily life, people also apply their unique habitual emotion regulation. Therefore, in the study of the influence of emotion regulation on cognition, the influence of habitual emotion regulation strategy is a variable that cannot be ignored. Relatively, the non-habitual emotion regulation strategy that is inconsistent with habitual emotion regulation strategy is also a variable worth considering.</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two core questions about cognitive strategies are how we make choices among the many strategies that solve each problem and how to implement them after selection. Studies have shown that effective strategy implementation is an important indicator for measuring individual cognitive ability and a necessary condition for effective learning ( Chuanlin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Zhu</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Dianzhi</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Liu , 2019).</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In summary, the purpose of this study is to use college students' strategy execution as a high-level cognitive activity, using face images to induce sadness, angry emotions, and self-written text situations to induce anxiety, combining laboratory research with questionnaires. The effects of habitual mood regulation and non-habitual emotion regulation under three negative emotions with high ecological validity on the implementation of estimation strategies were systematically discussed.</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b/>
          <w:bCs/>
          <w:sz w:val="24"/>
          <w:szCs w:val="24"/>
        </w:rPr>
        <w:t>Key words:</w:t>
      </w:r>
      <w:r>
        <w:rPr>
          <w:rFonts w:hint="eastAsia" w:ascii="Times New Roman" w:hAnsi="Times New Roman" w:cs="Times New Roman"/>
          <w:sz w:val="24"/>
          <w:szCs w:val="24"/>
        </w:rPr>
        <w:t xml:space="preserve"> </w:t>
      </w:r>
      <w:r>
        <w:rPr>
          <w:rFonts w:hint="default" w:ascii="Times New Roman" w:hAnsi="Times New Roman" w:cs="Times New Roman"/>
          <w:b w:val="0"/>
          <w:bCs w:val="0"/>
          <w:sz w:val="24"/>
          <w:szCs w:val="24"/>
        </w:rPr>
        <w:t>habitual emotional regulation</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non-habitualemotional regulation</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sz w:val="24"/>
          <w:szCs w:val="24"/>
        </w:rPr>
        <w:t>strategy execution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7D11C8"/>
    <w:rsid w:val="5D2C6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Office_11.1.0.8765_F1E327BC-269C-435d-A152-05C5408002CA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2019-07-06T02:23:00Z</dcterms:created>
  <dc:creator>Administrator.SC-201906091730</dc:creator>
  <cp:lastModifiedBy>H木心</cp:lastModifiedBy>
  <dcterms:modified xsi:type="dcterms:W3CDTF">2019-07-06T02:52:03Z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2052-11.1.0.8765</vt:lpwstr>
  </property>
</Properties>
</file>