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544EB" w14:textId="60997753" w:rsidR="00AE3E37" w:rsidRPr="00A82CF0" w:rsidRDefault="009655A4" w:rsidP="00A82CF0">
      <w:pPr>
        <w:pStyle w:val="Heading1"/>
        <w:spacing w:before="170" w:line="240" w:lineRule="auto"/>
        <w:ind w:left="0"/>
        <w:rPr>
          <w:rFonts w:asciiTheme="majorHAnsi" w:hAnsiTheme="majorHAnsi" w:cs="Times New Roman"/>
          <w:sz w:val="28"/>
          <w:szCs w:val="28"/>
        </w:rPr>
      </w:pPr>
      <w:r>
        <w:rPr>
          <w:rFonts w:asciiTheme="majorHAnsi" w:hAnsiTheme="majorHAnsi" w:cs="Times New Roman"/>
          <w:color w:val="337AB7"/>
          <w:sz w:val="28"/>
          <w:szCs w:val="28"/>
        </w:rPr>
        <w:t xml:space="preserve">The </w:t>
      </w:r>
      <w:r w:rsidR="002F272D">
        <w:rPr>
          <w:rFonts w:asciiTheme="majorHAnsi" w:hAnsiTheme="majorHAnsi" w:cs="Times New Roman"/>
          <w:color w:val="337AB7"/>
          <w:sz w:val="28"/>
          <w:szCs w:val="28"/>
        </w:rPr>
        <w:t xml:space="preserve">Growth of </w:t>
      </w:r>
      <w:bookmarkStart w:id="0" w:name="_GoBack"/>
      <w:bookmarkEnd w:id="0"/>
      <w:r>
        <w:rPr>
          <w:rFonts w:asciiTheme="majorHAnsi" w:hAnsiTheme="majorHAnsi" w:cs="Times New Roman"/>
          <w:color w:val="337AB7"/>
          <w:sz w:val="28"/>
          <w:szCs w:val="28"/>
        </w:rPr>
        <w:t>Social and Emotional Flourishing in Grateful Adolescents</w:t>
      </w:r>
    </w:p>
    <w:p w14:paraId="0761B1A8" w14:textId="0314C9C3" w:rsidR="004C4EB0" w:rsidRPr="00934B9C" w:rsidRDefault="000523A2" w:rsidP="00934B9C">
      <w:pPr>
        <w:pStyle w:val="BodyText"/>
        <w:spacing w:before="73" w:line="198" w:lineRule="exact"/>
        <w:ind w:right="5987"/>
        <w:rPr>
          <w:rFonts w:ascii="Baskerville Old Face" w:hAnsi="Baskerville Old Face" w:cs="Times New Roman"/>
          <w:sz w:val="20"/>
          <w:szCs w:val="20"/>
        </w:rPr>
      </w:pPr>
      <w:r w:rsidRPr="003C074E">
        <w:rPr>
          <w:rFonts w:ascii="Times New Roman" w:hAnsi="Times New Roman" w:cs="Times New Roman"/>
        </w:rPr>
        <w:t xml:space="preserve">Anthony </w:t>
      </w:r>
      <w:r w:rsidR="003C074E" w:rsidRPr="003C074E">
        <w:rPr>
          <w:rFonts w:ascii="Times New Roman" w:hAnsi="Times New Roman" w:cs="Times New Roman"/>
        </w:rPr>
        <w:t xml:space="preserve">J. </w:t>
      </w:r>
      <w:r w:rsidRPr="003C074E">
        <w:rPr>
          <w:rFonts w:ascii="Times New Roman" w:hAnsi="Times New Roman" w:cs="Times New Roman"/>
        </w:rPr>
        <w:t>Ciccarello</w:t>
      </w:r>
      <w:r w:rsidR="005973B9" w:rsidRPr="00934B9C">
        <w:rPr>
          <w:rFonts w:ascii="Baskerville Old Face" w:hAnsi="Baskerville Old Face" w:cs="Times New Roman"/>
          <w:sz w:val="20"/>
          <w:szCs w:val="20"/>
        </w:rPr>
        <w:t xml:space="preserve"> </w:t>
      </w:r>
      <w:r w:rsidR="00274E44">
        <w:rPr>
          <w:rFonts w:ascii="Baskerville Old Face" w:hAnsi="Baskerville Old Face" w:cs="Times New Roman"/>
          <w:sz w:val="20"/>
          <w:szCs w:val="20"/>
        </w:rPr>
        <w:t xml:space="preserve">&amp; Ashleigh Garretson, </w:t>
      </w:r>
      <w:r>
        <w:rPr>
          <w:rFonts w:ascii="Baskerville Old Face" w:hAnsi="Baskerville Old Face" w:cs="Times New Roman"/>
          <w:sz w:val="20"/>
          <w:szCs w:val="20"/>
        </w:rPr>
        <w:t>Hofstra University</w:t>
      </w:r>
      <w:r w:rsidR="004C4EB0">
        <w:rPr>
          <w:rFonts w:ascii="Baskerville Old Face" w:hAnsi="Baskerville Old Face" w:cs="Times New Roman"/>
          <w:sz w:val="20"/>
          <w:szCs w:val="20"/>
        </w:rPr>
        <w:t xml:space="preserve">, </w:t>
      </w:r>
      <w:r w:rsidR="004C4EB0" w:rsidRPr="004C4EB0">
        <w:rPr>
          <w:rFonts w:ascii="Baskerville Old Face" w:hAnsi="Baskerville Old Face" w:cs="Times New Roman"/>
          <w:sz w:val="20"/>
          <w:szCs w:val="20"/>
        </w:rPr>
        <w:t>USA</w:t>
      </w:r>
    </w:p>
    <w:p w14:paraId="49E93C0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3B14CD0" w14:textId="77777777" w:rsidR="000523A2" w:rsidRPr="000523A2" w:rsidRDefault="000523A2" w:rsidP="000523A2">
      <w:pPr>
        <w:pStyle w:val="Heading3"/>
        <w:spacing w:before="147"/>
        <w:ind w:left="0"/>
        <w:jc w:val="both"/>
        <w:rPr>
          <w:rFonts w:ascii="Baskerville Old Face" w:hAnsi="Baskerville Old Face" w:cs="Times New Roman"/>
          <w:color w:val="BF5A14"/>
          <w:szCs w:val="18"/>
        </w:rPr>
      </w:pPr>
      <w:r w:rsidRPr="000523A2">
        <w:rPr>
          <w:rFonts w:ascii="Baskerville Old Face" w:hAnsi="Baskerville Old Face" w:cs="Times New Roman"/>
          <w:color w:val="BF5A14"/>
          <w:szCs w:val="18"/>
        </w:rPr>
        <w:lastRenderedPageBreak/>
        <w:t>Abstract</w:t>
      </w:r>
    </w:p>
    <w:p w14:paraId="13DC80BC" w14:textId="36F45D07" w:rsidR="00274E44" w:rsidRDefault="00274E44" w:rsidP="000523A2">
      <w:pPr>
        <w:widowControl/>
        <w:rPr>
          <w:rFonts w:ascii="Times New Roman" w:eastAsia="Times New Roman" w:hAnsi="Times New Roman" w:cs="Times New Roman"/>
          <w:sz w:val="18"/>
          <w:szCs w:val="18"/>
          <w:lang w:bidi="hi-IN"/>
        </w:rPr>
      </w:pPr>
      <w:r>
        <w:rPr>
          <w:rFonts w:ascii="Times New Roman" w:eastAsia="Times New Roman" w:hAnsi="Times New Roman" w:cs="Times New Roman"/>
          <w:color w:val="000000"/>
          <w:sz w:val="18"/>
          <w:szCs w:val="18"/>
          <w:lang w:bidi="hi-IN"/>
        </w:rPr>
        <w:t>Introduction</w:t>
      </w:r>
      <w:r w:rsidR="009E47A0">
        <w:rPr>
          <w:rFonts w:ascii="Times New Roman" w:eastAsia="Times New Roman" w:hAnsi="Times New Roman" w:cs="Times New Roman"/>
          <w:color w:val="000000"/>
          <w:sz w:val="18"/>
          <w:szCs w:val="18"/>
          <w:lang w:bidi="hi-IN"/>
        </w:rPr>
        <w:t xml:space="preserve">: </w:t>
      </w:r>
      <w:r w:rsidR="000523A2" w:rsidRPr="000523A2">
        <w:rPr>
          <w:rFonts w:ascii="Times New Roman" w:eastAsia="Times New Roman" w:hAnsi="Times New Roman" w:cs="Times New Roman"/>
          <w:color w:val="000000"/>
          <w:sz w:val="18"/>
          <w:szCs w:val="18"/>
          <w:lang w:bidi="hi-IN"/>
        </w:rPr>
        <w:t>Recent research has implicate</w:t>
      </w:r>
      <w:r w:rsidR="005A30E2">
        <w:rPr>
          <w:rFonts w:ascii="Times New Roman" w:eastAsia="Times New Roman" w:hAnsi="Times New Roman" w:cs="Times New Roman"/>
          <w:color w:val="000000"/>
          <w:sz w:val="18"/>
          <w:szCs w:val="18"/>
          <w:lang w:bidi="hi-IN"/>
        </w:rPr>
        <w:t xml:space="preserve">d the </w:t>
      </w:r>
      <w:r w:rsidR="00544243">
        <w:rPr>
          <w:rFonts w:ascii="Times New Roman" w:eastAsia="Times New Roman" w:hAnsi="Times New Roman" w:cs="Times New Roman"/>
          <w:color w:val="000000"/>
          <w:sz w:val="18"/>
          <w:szCs w:val="18"/>
          <w:lang w:bidi="hi-IN"/>
        </w:rPr>
        <w:t>direct influence</w:t>
      </w:r>
      <w:r w:rsidR="005A30E2">
        <w:rPr>
          <w:rFonts w:ascii="Times New Roman" w:eastAsia="Times New Roman" w:hAnsi="Times New Roman" w:cs="Times New Roman"/>
          <w:color w:val="000000"/>
          <w:sz w:val="18"/>
          <w:szCs w:val="18"/>
          <w:lang w:bidi="hi-IN"/>
        </w:rPr>
        <w:t>s</w:t>
      </w:r>
      <w:r w:rsidR="00544243">
        <w:rPr>
          <w:rFonts w:ascii="Times New Roman" w:eastAsia="Times New Roman" w:hAnsi="Times New Roman" w:cs="Times New Roman"/>
          <w:color w:val="000000"/>
          <w:sz w:val="18"/>
          <w:szCs w:val="18"/>
          <w:lang w:bidi="hi-IN"/>
        </w:rPr>
        <w:t xml:space="preserve"> </w:t>
      </w:r>
      <w:r w:rsidR="005A30E2">
        <w:rPr>
          <w:rFonts w:ascii="Times New Roman" w:eastAsia="Times New Roman" w:hAnsi="Times New Roman" w:cs="Times New Roman"/>
          <w:color w:val="000000"/>
          <w:sz w:val="18"/>
          <w:szCs w:val="18"/>
          <w:lang w:bidi="hi-IN"/>
        </w:rPr>
        <w:t>of gratitude upo</w:t>
      </w:r>
      <w:r w:rsidR="00544243">
        <w:rPr>
          <w:rFonts w:ascii="Times New Roman" w:eastAsia="Times New Roman" w:hAnsi="Times New Roman" w:cs="Times New Roman"/>
          <w:color w:val="000000"/>
          <w:sz w:val="18"/>
          <w:szCs w:val="18"/>
          <w:lang w:bidi="hi-IN"/>
        </w:rPr>
        <w:t>n</w:t>
      </w:r>
      <w:r w:rsidR="000523A2" w:rsidRPr="000523A2">
        <w:rPr>
          <w:rFonts w:ascii="Times New Roman" w:eastAsia="Times New Roman" w:hAnsi="Times New Roman" w:cs="Times New Roman"/>
          <w:color w:val="000000"/>
          <w:sz w:val="18"/>
          <w:szCs w:val="18"/>
          <w:lang w:bidi="hi-IN"/>
        </w:rPr>
        <w:t xml:space="preserve"> the development of flourishing adolescents.  Empirical evidence supports that gratitude promotes resilient and sustainable happiness through its enriching effects on well-being, self-introspection, and social relationships.  Findings have also demonstrated that through social exchanges, gratitude facilitates the reinforcement of prosocial behaviors, which encourages the development of more engaging, compassionate, and trusting relationships.  This present study investigates the longitudinal</w:t>
      </w:r>
      <w:r w:rsidR="008D06F8">
        <w:rPr>
          <w:rFonts w:ascii="Times New Roman" w:eastAsia="Times New Roman" w:hAnsi="Times New Roman" w:cs="Times New Roman"/>
          <w:color w:val="000000"/>
          <w:sz w:val="18"/>
          <w:szCs w:val="18"/>
          <w:lang w:bidi="hi-IN"/>
        </w:rPr>
        <w:t xml:space="preserve"> effects</w:t>
      </w:r>
      <w:r w:rsidR="000523A2" w:rsidRPr="000523A2">
        <w:rPr>
          <w:rFonts w:ascii="Times New Roman" w:eastAsia="Times New Roman" w:hAnsi="Times New Roman" w:cs="Times New Roman"/>
          <w:color w:val="000000"/>
          <w:sz w:val="18"/>
          <w:szCs w:val="18"/>
          <w:lang w:bidi="hi-IN"/>
        </w:rPr>
        <w:t xml:space="preserve"> of adolescent gratitude in relation to reported levels of social integration, vitality, empathy, and forgiveness.</w:t>
      </w:r>
      <w:r>
        <w:rPr>
          <w:rFonts w:ascii="Times New Roman" w:eastAsia="Times New Roman" w:hAnsi="Times New Roman" w:cs="Times New Roman"/>
          <w:sz w:val="18"/>
          <w:szCs w:val="18"/>
          <w:lang w:bidi="hi-IN"/>
        </w:rPr>
        <w:t xml:space="preserve">  </w:t>
      </w:r>
    </w:p>
    <w:p w14:paraId="0D43767B" w14:textId="090C2069" w:rsidR="00544243" w:rsidRDefault="009E47A0" w:rsidP="000523A2">
      <w:pPr>
        <w:widowControl/>
        <w:rPr>
          <w:rFonts w:ascii="Times New Roman" w:eastAsia="Times New Roman" w:hAnsi="Times New Roman" w:cs="Times New Roman"/>
          <w:color w:val="000000"/>
          <w:sz w:val="18"/>
          <w:szCs w:val="18"/>
          <w:lang w:bidi="hi-IN"/>
        </w:rPr>
      </w:pPr>
      <w:r>
        <w:rPr>
          <w:rFonts w:ascii="Times New Roman" w:eastAsia="Times New Roman" w:hAnsi="Times New Roman" w:cs="Times New Roman"/>
          <w:color w:val="000000"/>
          <w:sz w:val="18"/>
          <w:szCs w:val="18"/>
          <w:lang w:bidi="hi-IN"/>
        </w:rPr>
        <w:t xml:space="preserve">Methodology: </w:t>
      </w:r>
      <w:r w:rsidR="000523A2" w:rsidRPr="000523A2">
        <w:rPr>
          <w:rFonts w:ascii="Times New Roman" w:eastAsia="Times New Roman" w:hAnsi="Times New Roman" w:cs="Times New Roman"/>
          <w:color w:val="000000"/>
          <w:sz w:val="18"/>
          <w:szCs w:val="18"/>
          <w:lang w:bidi="hi-IN"/>
        </w:rPr>
        <w:t>Adolescents (</w:t>
      </w:r>
      <w:r w:rsidR="000523A2" w:rsidRPr="000523A2">
        <w:rPr>
          <w:rFonts w:ascii="Times New Roman" w:eastAsia="Times New Roman" w:hAnsi="Times New Roman" w:cs="Times New Roman"/>
          <w:i/>
          <w:iCs/>
          <w:color w:val="000000"/>
          <w:sz w:val="18"/>
          <w:szCs w:val="18"/>
          <w:lang w:bidi="hi-IN"/>
        </w:rPr>
        <w:t xml:space="preserve">N </w:t>
      </w:r>
      <w:r w:rsidR="000523A2" w:rsidRPr="000523A2">
        <w:rPr>
          <w:rFonts w:ascii="Times New Roman" w:eastAsia="Times New Roman" w:hAnsi="Times New Roman" w:cs="Times New Roman"/>
          <w:color w:val="000000"/>
          <w:sz w:val="18"/>
          <w:szCs w:val="18"/>
          <w:lang w:bidi="hi-IN"/>
        </w:rPr>
        <w:t>= 566) completed two different gratitude measures at baseline (T1) and 6 months later (T2).  A gratitude composite was computed by taking the mean of the standardized scale scores from these two scales at both time</w:t>
      </w:r>
      <w:r w:rsidR="00274E44">
        <w:rPr>
          <w:rFonts w:ascii="Times New Roman" w:eastAsia="Times New Roman" w:hAnsi="Times New Roman" w:cs="Times New Roman"/>
          <w:color w:val="000000"/>
          <w:sz w:val="18"/>
          <w:szCs w:val="18"/>
          <w:lang w:bidi="hi-IN"/>
        </w:rPr>
        <w:t>-</w:t>
      </w:r>
      <w:r w:rsidR="000523A2" w:rsidRPr="000523A2">
        <w:rPr>
          <w:rFonts w:ascii="Times New Roman" w:eastAsia="Times New Roman" w:hAnsi="Times New Roman" w:cs="Times New Roman"/>
          <w:color w:val="000000"/>
          <w:sz w:val="18"/>
          <w:szCs w:val="18"/>
          <w:lang w:bidi="hi-IN"/>
        </w:rPr>
        <w:t>points because gratitude development is still solidifying during this age range.  All other measures were completed 4 years later at T3</w:t>
      </w:r>
      <w:r w:rsidR="008D06F8">
        <w:rPr>
          <w:rFonts w:ascii="Times New Roman" w:eastAsia="Times New Roman" w:hAnsi="Times New Roman" w:cs="Times New Roman"/>
          <w:color w:val="000000"/>
          <w:sz w:val="18"/>
          <w:szCs w:val="18"/>
          <w:lang w:bidi="hi-IN"/>
        </w:rPr>
        <w:t xml:space="preserve">.  </w:t>
      </w:r>
      <w:r w:rsidR="000523A2" w:rsidRPr="000523A2">
        <w:rPr>
          <w:rFonts w:ascii="Times New Roman" w:eastAsia="Times New Roman" w:hAnsi="Times New Roman" w:cs="Times New Roman"/>
          <w:color w:val="000000"/>
          <w:sz w:val="18"/>
          <w:szCs w:val="18"/>
          <w:lang w:bidi="hi-IN"/>
        </w:rPr>
        <w:t xml:space="preserve">Reliability of </w:t>
      </w:r>
      <w:r w:rsidR="005A30E2">
        <w:rPr>
          <w:rFonts w:ascii="Times New Roman" w:eastAsia="Times New Roman" w:hAnsi="Times New Roman" w:cs="Times New Roman"/>
          <w:color w:val="000000"/>
          <w:sz w:val="18"/>
          <w:szCs w:val="18"/>
          <w:lang w:bidi="hi-IN"/>
        </w:rPr>
        <w:t>the Gratitude Composite, Social-</w:t>
      </w:r>
      <w:r w:rsidR="000523A2" w:rsidRPr="000523A2">
        <w:rPr>
          <w:rFonts w:ascii="Times New Roman" w:eastAsia="Times New Roman" w:hAnsi="Times New Roman" w:cs="Times New Roman"/>
          <w:color w:val="000000"/>
          <w:sz w:val="18"/>
          <w:szCs w:val="18"/>
          <w:lang w:bidi="hi-IN"/>
        </w:rPr>
        <w:t>Integration Scale, and Vitality Scale each achieved alphas between .70 and .88, while em</w:t>
      </w:r>
      <w:r w:rsidR="005A30E2">
        <w:rPr>
          <w:rFonts w:ascii="Times New Roman" w:eastAsia="Times New Roman" w:hAnsi="Times New Roman" w:cs="Times New Roman"/>
          <w:color w:val="000000"/>
          <w:sz w:val="18"/>
          <w:szCs w:val="18"/>
          <w:lang w:bidi="hi-IN"/>
        </w:rPr>
        <w:t>pathy and forgiveness were</w:t>
      </w:r>
      <w:r w:rsidR="008D06F8">
        <w:rPr>
          <w:rFonts w:ascii="Times New Roman" w:eastAsia="Times New Roman" w:hAnsi="Times New Roman" w:cs="Times New Roman"/>
          <w:color w:val="000000"/>
          <w:sz w:val="18"/>
          <w:szCs w:val="18"/>
          <w:lang w:bidi="hi-IN"/>
        </w:rPr>
        <w:t xml:space="preserve"> both</w:t>
      </w:r>
      <w:r w:rsidR="005A30E2">
        <w:rPr>
          <w:rFonts w:ascii="Times New Roman" w:eastAsia="Times New Roman" w:hAnsi="Times New Roman" w:cs="Times New Roman"/>
          <w:color w:val="000000"/>
          <w:sz w:val="18"/>
          <w:szCs w:val="18"/>
          <w:lang w:bidi="hi-IN"/>
        </w:rPr>
        <w:t xml:space="preserve"> </w:t>
      </w:r>
      <w:r w:rsidR="000523A2" w:rsidRPr="000523A2">
        <w:rPr>
          <w:rFonts w:ascii="Times New Roman" w:eastAsia="Times New Roman" w:hAnsi="Times New Roman" w:cs="Times New Roman"/>
          <w:color w:val="000000"/>
          <w:sz w:val="18"/>
          <w:szCs w:val="18"/>
          <w:lang w:bidi="hi-IN"/>
        </w:rPr>
        <w:t>assessed through single question reports.</w:t>
      </w:r>
      <w:r w:rsidR="00274E44">
        <w:rPr>
          <w:rFonts w:ascii="Times New Roman" w:eastAsia="Times New Roman" w:hAnsi="Times New Roman" w:cs="Times New Roman"/>
          <w:sz w:val="18"/>
          <w:szCs w:val="18"/>
          <w:lang w:bidi="hi-IN"/>
        </w:rPr>
        <w:t xml:space="preserve">  </w:t>
      </w:r>
      <w:r>
        <w:rPr>
          <w:rFonts w:ascii="Times New Roman" w:eastAsia="Times New Roman" w:hAnsi="Times New Roman" w:cs="Times New Roman"/>
          <w:color w:val="000000"/>
          <w:sz w:val="18"/>
          <w:szCs w:val="18"/>
          <w:lang w:bidi="hi-IN"/>
        </w:rPr>
        <w:t xml:space="preserve">Findings: </w:t>
      </w:r>
      <w:r w:rsidR="000523A2" w:rsidRPr="000523A2">
        <w:rPr>
          <w:rFonts w:ascii="Times New Roman" w:eastAsia="Times New Roman" w:hAnsi="Times New Roman" w:cs="Times New Roman"/>
          <w:color w:val="000000"/>
          <w:sz w:val="18"/>
          <w:szCs w:val="18"/>
          <w:lang w:bidi="hi-IN"/>
        </w:rPr>
        <w:t>Four separate linear regression analyses indicated that gratitude at T1</w:t>
      </w:r>
      <w:r w:rsidR="005A30E2">
        <w:rPr>
          <w:rFonts w:ascii="Times New Roman" w:eastAsia="Times New Roman" w:hAnsi="Times New Roman" w:cs="Times New Roman"/>
          <w:color w:val="000000"/>
          <w:sz w:val="18"/>
          <w:szCs w:val="18"/>
          <w:lang w:bidi="hi-IN"/>
        </w:rPr>
        <w:t xml:space="preserve"> significantly predicted social-</w:t>
      </w:r>
      <w:r w:rsidR="000523A2" w:rsidRPr="000523A2">
        <w:rPr>
          <w:rFonts w:ascii="Times New Roman" w:eastAsia="Times New Roman" w:hAnsi="Times New Roman" w:cs="Times New Roman"/>
          <w:color w:val="000000"/>
          <w:sz w:val="18"/>
          <w:szCs w:val="18"/>
          <w:lang w:bidi="hi-IN"/>
        </w:rPr>
        <w:t>integration (</w:t>
      </w:r>
      <w:r w:rsidR="000523A2" w:rsidRPr="000523A2">
        <w:rPr>
          <w:rFonts w:ascii="Times New Roman" w:eastAsia="Times New Roman" w:hAnsi="Times New Roman" w:cs="Times New Roman"/>
          <w:i/>
          <w:iCs/>
          <w:color w:val="000000"/>
          <w:sz w:val="18"/>
          <w:szCs w:val="18"/>
          <w:lang w:bidi="hi-IN"/>
        </w:rPr>
        <w:t>r</w:t>
      </w:r>
      <w:r w:rsidR="000523A2" w:rsidRPr="000523A2">
        <w:rPr>
          <w:rFonts w:ascii="Times New Roman" w:eastAsia="Times New Roman" w:hAnsi="Times New Roman" w:cs="Times New Roman"/>
          <w:color w:val="000000"/>
          <w:sz w:val="18"/>
          <w:szCs w:val="18"/>
          <w:lang w:bidi="hi-IN"/>
        </w:rPr>
        <w:t xml:space="preserve"> = .30, </w:t>
      </w:r>
      <w:r w:rsidR="000523A2" w:rsidRPr="000523A2">
        <w:rPr>
          <w:rFonts w:ascii="Times New Roman" w:eastAsia="Times New Roman" w:hAnsi="Times New Roman" w:cs="Times New Roman"/>
          <w:i/>
          <w:iCs/>
          <w:color w:val="000000"/>
          <w:sz w:val="18"/>
          <w:szCs w:val="18"/>
          <w:lang w:bidi="hi-IN"/>
        </w:rPr>
        <w:t>p</w:t>
      </w:r>
      <w:r w:rsidR="000523A2" w:rsidRPr="000523A2">
        <w:rPr>
          <w:rFonts w:ascii="Times New Roman" w:eastAsia="Times New Roman" w:hAnsi="Times New Roman" w:cs="Times New Roman"/>
          <w:color w:val="000000"/>
          <w:sz w:val="18"/>
          <w:szCs w:val="18"/>
          <w:lang w:bidi="hi-IN"/>
        </w:rPr>
        <w:t xml:space="preserve"> &lt;.001), vitality</w:t>
      </w:r>
    </w:p>
    <w:p w14:paraId="7024F96A" w14:textId="77777777" w:rsidR="00544243" w:rsidRDefault="000523A2" w:rsidP="000523A2">
      <w:pPr>
        <w:widowControl/>
        <w:rPr>
          <w:rFonts w:ascii="Times New Roman" w:eastAsia="Times New Roman" w:hAnsi="Times New Roman" w:cs="Times New Roman"/>
          <w:color w:val="000000"/>
          <w:sz w:val="18"/>
          <w:szCs w:val="18"/>
          <w:lang w:bidi="hi-IN"/>
        </w:rPr>
      </w:pPr>
      <w:r w:rsidRPr="000523A2">
        <w:rPr>
          <w:rFonts w:ascii="Times New Roman" w:eastAsia="Times New Roman" w:hAnsi="Times New Roman" w:cs="Times New Roman"/>
          <w:color w:val="000000"/>
          <w:sz w:val="18"/>
          <w:szCs w:val="18"/>
          <w:lang w:bidi="hi-IN"/>
        </w:rPr>
        <w:t xml:space="preserve"> (</w:t>
      </w:r>
      <w:r w:rsidRPr="000523A2">
        <w:rPr>
          <w:rFonts w:ascii="Times New Roman" w:eastAsia="Times New Roman" w:hAnsi="Times New Roman" w:cs="Times New Roman"/>
          <w:i/>
          <w:iCs/>
          <w:color w:val="000000"/>
          <w:sz w:val="18"/>
          <w:szCs w:val="18"/>
          <w:lang w:bidi="hi-IN"/>
        </w:rPr>
        <w:t>r</w:t>
      </w:r>
      <w:r w:rsidRPr="000523A2">
        <w:rPr>
          <w:rFonts w:ascii="Times New Roman" w:eastAsia="Times New Roman" w:hAnsi="Times New Roman" w:cs="Times New Roman"/>
          <w:color w:val="000000"/>
          <w:sz w:val="18"/>
          <w:szCs w:val="18"/>
          <w:lang w:bidi="hi-IN"/>
        </w:rPr>
        <w:t xml:space="preserve"> = .20 </w:t>
      </w:r>
      <w:r w:rsidRPr="000523A2">
        <w:rPr>
          <w:rFonts w:ascii="Times New Roman" w:eastAsia="Times New Roman" w:hAnsi="Times New Roman" w:cs="Times New Roman"/>
          <w:i/>
          <w:iCs/>
          <w:color w:val="000000"/>
          <w:sz w:val="18"/>
          <w:szCs w:val="18"/>
          <w:lang w:bidi="hi-IN"/>
        </w:rPr>
        <w:t>p</w:t>
      </w:r>
      <w:r w:rsidRPr="000523A2">
        <w:rPr>
          <w:rFonts w:ascii="Times New Roman" w:eastAsia="Times New Roman" w:hAnsi="Times New Roman" w:cs="Times New Roman"/>
          <w:color w:val="000000"/>
          <w:sz w:val="18"/>
          <w:szCs w:val="18"/>
          <w:lang w:bidi="hi-IN"/>
        </w:rPr>
        <w:t xml:space="preserve"> &lt;.001), empathy (</w:t>
      </w:r>
      <w:r w:rsidRPr="000523A2">
        <w:rPr>
          <w:rFonts w:ascii="Times New Roman" w:eastAsia="Times New Roman" w:hAnsi="Times New Roman" w:cs="Times New Roman"/>
          <w:i/>
          <w:iCs/>
          <w:color w:val="000000"/>
          <w:sz w:val="18"/>
          <w:szCs w:val="18"/>
          <w:lang w:bidi="hi-IN"/>
        </w:rPr>
        <w:t>r</w:t>
      </w:r>
      <w:r w:rsidRPr="000523A2">
        <w:rPr>
          <w:rFonts w:ascii="Times New Roman" w:eastAsia="Times New Roman" w:hAnsi="Times New Roman" w:cs="Times New Roman"/>
          <w:color w:val="000000"/>
          <w:sz w:val="18"/>
          <w:szCs w:val="18"/>
          <w:lang w:bidi="hi-IN"/>
        </w:rPr>
        <w:t xml:space="preserve"> = .12, </w:t>
      </w:r>
      <w:r w:rsidRPr="000523A2">
        <w:rPr>
          <w:rFonts w:ascii="Times New Roman" w:eastAsia="Times New Roman" w:hAnsi="Times New Roman" w:cs="Times New Roman"/>
          <w:i/>
          <w:iCs/>
          <w:color w:val="000000"/>
          <w:sz w:val="18"/>
          <w:szCs w:val="18"/>
          <w:lang w:bidi="hi-IN"/>
        </w:rPr>
        <w:t xml:space="preserve">p </w:t>
      </w:r>
      <w:r w:rsidRPr="000523A2">
        <w:rPr>
          <w:rFonts w:ascii="Times New Roman" w:eastAsia="Times New Roman" w:hAnsi="Times New Roman" w:cs="Times New Roman"/>
          <w:color w:val="000000"/>
          <w:sz w:val="18"/>
          <w:szCs w:val="18"/>
          <w:lang w:bidi="hi-IN"/>
        </w:rPr>
        <w:t xml:space="preserve">&lt;.05), and forgiveness </w:t>
      </w:r>
    </w:p>
    <w:p w14:paraId="55814234" w14:textId="57A1AEB5" w:rsidR="000523A2" w:rsidRPr="000523A2" w:rsidRDefault="000523A2" w:rsidP="000523A2">
      <w:pPr>
        <w:widowControl/>
        <w:rPr>
          <w:rFonts w:ascii="Times New Roman" w:eastAsia="Times New Roman" w:hAnsi="Times New Roman" w:cs="Times New Roman"/>
          <w:sz w:val="18"/>
          <w:szCs w:val="18"/>
          <w:lang w:bidi="hi-IN"/>
        </w:rPr>
      </w:pPr>
      <w:r w:rsidRPr="000523A2">
        <w:rPr>
          <w:rFonts w:ascii="Times New Roman" w:eastAsia="Times New Roman" w:hAnsi="Times New Roman" w:cs="Times New Roman"/>
          <w:color w:val="000000"/>
          <w:sz w:val="18"/>
          <w:szCs w:val="18"/>
          <w:lang w:bidi="hi-IN"/>
        </w:rPr>
        <w:t>(</w:t>
      </w:r>
      <w:r w:rsidRPr="000523A2">
        <w:rPr>
          <w:rFonts w:ascii="Times New Roman" w:eastAsia="Times New Roman" w:hAnsi="Times New Roman" w:cs="Times New Roman"/>
          <w:i/>
          <w:iCs/>
          <w:color w:val="000000"/>
          <w:sz w:val="18"/>
          <w:szCs w:val="18"/>
          <w:lang w:bidi="hi-IN"/>
        </w:rPr>
        <w:t xml:space="preserve">r </w:t>
      </w:r>
      <w:r w:rsidRPr="000523A2">
        <w:rPr>
          <w:rFonts w:ascii="Times New Roman" w:eastAsia="Times New Roman" w:hAnsi="Times New Roman" w:cs="Times New Roman"/>
          <w:color w:val="000000"/>
          <w:sz w:val="18"/>
          <w:szCs w:val="18"/>
          <w:lang w:bidi="hi-IN"/>
        </w:rPr>
        <w:t xml:space="preserve">= .11, </w:t>
      </w:r>
      <w:r w:rsidRPr="000523A2">
        <w:rPr>
          <w:rFonts w:ascii="Times New Roman" w:eastAsia="Times New Roman" w:hAnsi="Times New Roman" w:cs="Times New Roman"/>
          <w:i/>
          <w:iCs/>
          <w:color w:val="000000"/>
          <w:sz w:val="18"/>
          <w:szCs w:val="18"/>
          <w:lang w:bidi="hi-IN"/>
        </w:rPr>
        <w:t>p</w:t>
      </w:r>
      <w:r w:rsidRPr="000523A2">
        <w:rPr>
          <w:rFonts w:ascii="Times New Roman" w:eastAsia="Times New Roman" w:hAnsi="Times New Roman" w:cs="Times New Roman"/>
          <w:color w:val="000000"/>
          <w:sz w:val="18"/>
          <w:szCs w:val="18"/>
          <w:lang w:bidi="hi-IN"/>
        </w:rPr>
        <w:t xml:space="preserve"> &lt;.05). Please see Table 1.  </w:t>
      </w:r>
      <w:r w:rsidR="009E47A0">
        <w:rPr>
          <w:rFonts w:ascii="Times New Roman" w:eastAsia="Times New Roman" w:hAnsi="Times New Roman" w:cs="Times New Roman"/>
          <w:color w:val="000000"/>
          <w:sz w:val="18"/>
          <w:szCs w:val="18"/>
          <w:lang w:bidi="hi-IN"/>
        </w:rPr>
        <w:t xml:space="preserve">Conclusion: </w:t>
      </w:r>
      <w:r w:rsidRPr="000523A2">
        <w:rPr>
          <w:rFonts w:ascii="Times New Roman" w:eastAsia="Times New Roman" w:hAnsi="Times New Roman" w:cs="Times New Roman"/>
          <w:color w:val="000000"/>
          <w:sz w:val="18"/>
          <w:szCs w:val="18"/>
          <w:lang w:bidi="hi-IN"/>
        </w:rPr>
        <w:t>Results from this analysis suggest that elevated childhood gratitude may have profound implications for the development of socially integrated, emotionally sensible,</w:t>
      </w:r>
      <w:r w:rsidR="008D06F8">
        <w:rPr>
          <w:rFonts w:ascii="Times New Roman" w:eastAsia="Times New Roman" w:hAnsi="Times New Roman" w:cs="Times New Roman"/>
          <w:color w:val="000000"/>
          <w:sz w:val="18"/>
          <w:szCs w:val="18"/>
          <w:lang w:bidi="hi-IN"/>
        </w:rPr>
        <w:t xml:space="preserve"> and enthusiastic adolescents.  </w:t>
      </w:r>
      <w:r w:rsidRPr="000523A2">
        <w:rPr>
          <w:rFonts w:ascii="Times New Roman" w:eastAsia="Times New Roman" w:hAnsi="Times New Roman" w:cs="Times New Roman"/>
          <w:color w:val="000000"/>
          <w:sz w:val="18"/>
          <w:szCs w:val="18"/>
          <w:lang w:bidi="hi-IN"/>
        </w:rPr>
        <w:t xml:space="preserve">This </w:t>
      </w:r>
      <w:r w:rsidR="008D06F8">
        <w:rPr>
          <w:rFonts w:ascii="Times New Roman" w:eastAsia="Times New Roman" w:hAnsi="Times New Roman" w:cs="Times New Roman"/>
          <w:color w:val="000000"/>
          <w:sz w:val="18"/>
          <w:szCs w:val="18"/>
          <w:lang w:bidi="hi-IN"/>
        </w:rPr>
        <w:t>is particularly important for the optimal development of</w:t>
      </w:r>
      <w:r w:rsidRPr="000523A2">
        <w:rPr>
          <w:rFonts w:ascii="Times New Roman" w:eastAsia="Times New Roman" w:hAnsi="Times New Roman" w:cs="Times New Roman"/>
          <w:color w:val="000000"/>
          <w:sz w:val="18"/>
          <w:szCs w:val="18"/>
          <w:lang w:bidi="hi-IN"/>
        </w:rPr>
        <w:t xml:space="preserve"> socially flourishing individuals, as the effects of social media platforms and pressures of cultural expectations often leave adolescents with misconceived views of meaningful relationships and purposeful life-pursuits.  Gratitude, a virtue considered important for optimism and well-being, may insulate adolescents from such societal pressures, and prove beneficial for developing emotionally-relatable and socially supportive individuals.</w:t>
      </w:r>
    </w:p>
    <w:p w14:paraId="5AD5B7E7" w14:textId="77777777" w:rsidR="00AE3E37" w:rsidRPr="00FC7438" w:rsidRDefault="00A9710C">
      <w:pPr>
        <w:pStyle w:val="Heading3"/>
        <w:spacing w:before="74"/>
        <w:rPr>
          <w:rFonts w:ascii="Baskerville Old Face" w:hAnsi="Baskerville Old Face" w:cs="Times New Roman"/>
          <w:sz w:val="18"/>
          <w:szCs w:val="18"/>
        </w:rPr>
      </w:pPr>
      <w:r w:rsidRPr="00934B9C">
        <w:rPr>
          <w:rFonts w:ascii="Times New Roman" w:hAnsi="Times New Roman" w:cs="Times New Roman"/>
          <w:b w:val="0"/>
          <w:sz w:val="18"/>
          <w:szCs w:val="18"/>
        </w:rPr>
        <w:br w:type="column"/>
      </w:r>
      <w:r w:rsidRPr="00E6098D">
        <w:rPr>
          <w:rFonts w:ascii="Baskerville Old Face" w:hAnsi="Baskerville Old Face" w:cs="Times New Roman"/>
          <w:color w:val="BF5A14"/>
          <w:szCs w:val="18"/>
        </w:rPr>
        <w:lastRenderedPageBreak/>
        <w:t>Image</w:t>
      </w:r>
    </w:p>
    <w:p w14:paraId="53FD1227" w14:textId="77777777" w:rsidR="00AE3E37" w:rsidRPr="00934B9C" w:rsidRDefault="004A1B34">
      <w:pPr>
        <w:pStyle w:val="BodyText"/>
        <w:spacing w:before="2"/>
        <w:rPr>
          <w:rFonts w:ascii="Times New Roman" w:hAnsi="Times New Roman" w:cs="Times New Roman"/>
          <w:b/>
        </w:rPr>
      </w:pPr>
      <w:r w:rsidRPr="004A1B34">
        <w:rPr>
          <w:rFonts w:ascii="Times New Roman" w:hAnsi="Times New Roman" w:cs="Times New Roman"/>
          <w:b/>
          <w:noProof/>
        </w:rPr>
        <w:drawing>
          <wp:inline distT="0" distB="0" distL="0" distR="0" wp14:anchorId="35E6EB04" wp14:editId="76D2CD28">
            <wp:extent cx="3165475" cy="1439545"/>
            <wp:effectExtent l="0" t="0" r="952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65475" cy="1439545"/>
                    </a:xfrm>
                    <a:prstGeom prst="rect">
                      <a:avLst/>
                    </a:prstGeom>
                  </pic:spPr>
                </pic:pic>
              </a:graphicData>
            </a:graphic>
          </wp:inline>
        </w:drawing>
      </w:r>
    </w:p>
    <w:p w14:paraId="2EAE37F6" w14:textId="77777777" w:rsidR="00544243" w:rsidRDefault="005973B9" w:rsidP="00544243">
      <w:pPr>
        <w:spacing w:line="204" w:lineRule="exact"/>
        <w:rPr>
          <w:rFonts w:ascii="Baskerville Old Face" w:hAnsi="Baskerville Old Face" w:cs="Times New Roman"/>
        </w:rPr>
      </w:pPr>
      <w:r w:rsidRPr="00934B9C">
        <w:rPr>
          <w:rFonts w:ascii="Times New Roman" w:hAnsi="Times New Roman" w:cs="Times New Roman"/>
          <w:b/>
          <w:color w:val="BF5A14"/>
          <w:sz w:val="18"/>
          <w:szCs w:val="18"/>
        </w:rPr>
        <w:br/>
      </w:r>
      <w:r w:rsidR="00FC7438" w:rsidRPr="00E6098D">
        <w:rPr>
          <w:rFonts w:ascii="Baskerville Old Face" w:hAnsi="Baskerville Old Face"/>
          <w:b/>
          <w:color w:val="BF5A14"/>
          <w:sz w:val="20"/>
        </w:rPr>
        <w:t>Recent Publications &amp; References</w:t>
      </w:r>
    </w:p>
    <w:p w14:paraId="6CA5B161" w14:textId="77777777" w:rsidR="00544243" w:rsidRDefault="008756E6" w:rsidP="00544243">
      <w:pPr>
        <w:spacing w:line="204" w:lineRule="exact"/>
        <w:rPr>
          <w:rFonts w:ascii="Times New Roman" w:hAnsi="Times New Roman" w:cs="Times New Roman"/>
          <w:sz w:val="18"/>
          <w:szCs w:val="18"/>
        </w:rPr>
      </w:pPr>
      <w:r w:rsidRPr="00934B9C">
        <w:rPr>
          <w:rFonts w:ascii="Times New Roman" w:hAnsi="Times New Roman" w:cs="Times New Roman"/>
          <w:sz w:val="18"/>
          <w:szCs w:val="18"/>
        </w:rPr>
        <w:t xml:space="preserve"> </w:t>
      </w:r>
    </w:p>
    <w:p w14:paraId="2B92CE5A" w14:textId="77777777" w:rsidR="00544243" w:rsidRPr="00544243" w:rsidRDefault="00544243" w:rsidP="00544243">
      <w:pPr>
        <w:spacing w:line="204" w:lineRule="exact"/>
        <w:rPr>
          <w:rFonts w:ascii="Baskerville Old Face" w:hAnsi="Baskerville Old Face" w:cs="Times New Roman"/>
        </w:rPr>
      </w:pPr>
      <w:r w:rsidRPr="003D1E6F">
        <w:rPr>
          <w:rFonts w:ascii="Times" w:hAnsi="Times"/>
          <w:sz w:val="16"/>
          <w:szCs w:val="16"/>
        </w:rPr>
        <w:t xml:space="preserve">1. </w:t>
      </w:r>
      <w:proofErr w:type="spellStart"/>
      <w:r w:rsidRPr="003D1E6F">
        <w:rPr>
          <w:rFonts w:ascii="Times" w:hAnsi="Times"/>
          <w:sz w:val="16"/>
          <w:szCs w:val="16"/>
        </w:rPr>
        <w:t>Carr</w:t>
      </w:r>
      <w:proofErr w:type="spellEnd"/>
      <w:r w:rsidRPr="003D1E6F">
        <w:rPr>
          <w:rFonts w:ascii="Times" w:hAnsi="Times"/>
          <w:sz w:val="16"/>
          <w:szCs w:val="16"/>
        </w:rPr>
        <w:t xml:space="preserve">, D., Morgan, B., &amp; </w:t>
      </w:r>
      <w:proofErr w:type="spellStart"/>
      <w:r w:rsidRPr="003D1E6F">
        <w:rPr>
          <w:rFonts w:ascii="Times" w:hAnsi="Times"/>
          <w:sz w:val="16"/>
          <w:szCs w:val="16"/>
        </w:rPr>
        <w:t>Gulliford</w:t>
      </w:r>
      <w:proofErr w:type="spellEnd"/>
      <w:r w:rsidRPr="003D1E6F">
        <w:rPr>
          <w:rFonts w:ascii="Times" w:hAnsi="Times"/>
          <w:sz w:val="16"/>
          <w:szCs w:val="16"/>
        </w:rPr>
        <w:t xml:space="preserve">, L. (2015). Learning and teaching virtuous gratitude. Oxford Review </w:t>
      </w:r>
      <w:proofErr w:type="gramStart"/>
      <w:r w:rsidRPr="003D1E6F">
        <w:rPr>
          <w:rFonts w:ascii="Times" w:hAnsi="Times"/>
          <w:sz w:val="16"/>
          <w:szCs w:val="16"/>
        </w:rPr>
        <w:t>Of</w:t>
      </w:r>
      <w:proofErr w:type="gramEnd"/>
      <w:r w:rsidRPr="003D1E6F">
        <w:rPr>
          <w:rFonts w:ascii="Times" w:hAnsi="Times"/>
          <w:sz w:val="16"/>
          <w:szCs w:val="16"/>
        </w:rPr>
        <w:t xml:space="preserve"> Education, 41(6), 766-781. </w:t>
      </w:r>
    </w:p>
    <w:p w14:paraId="3A030CC4" w14:textId="77777777" w:rsidR="00544243" w:rsidRDefault="00544243" w:rsidP="00544243">
      <w:pPr>
        <w:rPr>
          <w:rFonts w:ascii="Times" w:hAnsi="Times"/>
          <w:sz w:val="16"/>
          <w:szCs w:val="16"/>
        </w:rPr>
      </w:pPr>
    </w:p>
    <w:p w14:paraId="220D8C47" w14:textId="77777777" w:rsidR="00544243" w:rsidRDefault="00544243" w:rsidP="00544243">
      <w:pPr>
        <w:rPr>
          <w:rFonts w:ascii="Times" w:hAnsi="Times"/>
          <w:sz w:val="16"/>
          <w:szCs w:val="16"/>
        </w:rPr>
      </w:pPr>
      <w:r>
        <w:rPr>
          <w:rFonts w:ascii="Times" w:hAnsi="Times"/>
          <w:sz w:val="16"/>
          <w:szCs w:val="16"/>
        </w:rPr>
        <w:t xml:space="preserve"> </w:t>
      </w:r>
      <w:r w:rsidRPr="003D1E6F">
        <w:rPr>
          <w:rFonts w:ascii="Times" w:hAnsi="Times"/>
          <w:sz w:val="16"/>
          <w:szCs w:val="16"/>
        </w:rPr>
        <w:t xml:space="preserve">2. </w:t>
      </w:r>
      <w:proofErr w:type="spellStart"/>
      <w:r w:rsidRPr="003D1E6F">
        <w:rPr>
          <w:rFonts w:ascii="Times" w:hAnsi="Times"/>
          <w:sz w:val="16"/>
          <w:szCs w:val="16"/>
        </w:rPr>
        <w:t>Eraslan-Capan</w:t>
      </w:r>
      <w:proofErr w:type="spellEnd"/>
      <w:r w:rsidRPr="003D1E6F">
        <w:rPr>
          <w:rFonts w:ascii="Times" w:hAnsi="Times"/>
          <w:sz w:val="16"/>
          <w:szCs w:val="16"/>
        </w:rPr>
        <w:t xml:space="preserve">, B. (2016). Social Connectedness and Flourishing: The Mediating Role of Hopelessness. Universal Journal </w:t>
      </w:r>
      <w:proofErr w:type="gramStart"/>
      <w:r w:rsidRPr="003D1E6F">
        <w:rPr>
          <w:rFonts w:ascii="Times" w:hAnsi="Times"/>
          <w:sz w:val="16"/>
          <w:szCs w:val="16"/>
        </w:rPr>
        <w:t>Of</w:t>
      </w:r>
      <w:proofErr w:type="gramEnd"/>
      <w:r w:rsidRPr="003D1E6F">
        <w:rPr>
          <w:rFonts w:ascii="Times" w:hAnsi="Times"/>
          <w:sz w:val="16"/>
          <w:szCs w:val="16"/>
        </w:rPr>
        <w:t xml:space="preserve"> Educational Research, 4(5), 933-940.</w:t>
      </w:r>
    </w:p>
    <w:p w14:paraId="7CCB47CC" w14:textId="77777777" w:rsidR="00544243" w:rsidRPr="003D1E6F" w:rsidRDefault="00544243" w:rsidP="00544243">
      <w:pPr>
        <w:rPr>
          <w:rFonts w:ascii="Times" w:hAnsi="Times"/>
          <w:sz w:val="16"/>
          <w:szCs w:val="16"/>
        </w:rPr>
      </w:pPr>
    </w:p>
    <w:p w14:paraId="1D8E4C4E" w14:textId="77777777" w:rsidR="00544243" w:rsidRPr="003D1E6F" w:rsidRDefault="00544243" w:rsidP="00544243">
      <w:pPr>
        <w:rPr>
          <w:rFonts w:ascii="Times" w:hAnsi="Times"/>
          <w:sz w:val="16"/>
          <w:szCs w:val="16"/>
        </w:rPr>
      </w:pPr>
      <w:r>
        <w:rPr>
          <w:rFonts w:ascii="Times" w:hAnsi="Times"/>
          <w:sz w:val="16"/>
          <w:szCs w:val="16"/>
        </w:rPr>
        <w:t xml:space="preserve"> </w:t>
      </w:r>
      <w:r w:rsidRPr="003D1E6F">
        <w:rPr>
          <w:rFonts w:ascii="Times" w:hAnsi="Times"/>
          <w:sz w:val="16"/>
          <w:szCs w:val="16"/>
        </w:rPr>
        <w:t xml:space="preserve">3. McCullough, M. E., Tsang, J., &amp; Emmons, R. A. (2004). Gratitude in </w:t>
      </w:r>
      <w:r>
        <w:rPr>
          <w:rFonts w:ascii="Times" w:hAnsi="Times"/>
          <w:sz w:val="16"/>
          <w:szCs w:val="16"/>
        </w:rPr>
        <w:t xml:space="preserve">    </w:t>
      </w:r>
      <w:r w:rsidRPr="003D1E6F">
        <w:rPr>
          <w:rFonts w:ascii="Times" w:hAnsi="Times"/>
          <w:sz w:val="16"/>
          <w:szCs w:val="16"/>
        </w:rPr>
        <w:t xml:space="preserve">Intermediate Affective Terrain: Links of Grateful Moods to Individual Differences and Daily Emotional Experience. Journal </w:t>
      </w:r>
      <w:proofErr w:type="gramStart"/>
      <w:r w:rsidRPr="003D1E6F">
        <w:rPr>
          <w:rFonts w:ascii="Times" w:hAnsi="Times"/>
          <w:sz w:val="16"/>
          <w:szCs w:val="16"/>
        </w:rPr>
        <w:t>Of</w:t>
      </w:r>
      <w:proofErr w:type="gramEnd"/>
      <w:r w:rsidRPr="003D1E6F">
        <w:rPr>
          <w:rFonts w:ascii="Times" w:hAnsi="Times"/>
          <w:sz w:val="16"/>
          <w:szCs w:val="16"/>
        </w:rPr>
        <w:t xml:space="preserve"> Personality And Social Psychology, 86(2), 295-309. </w:t>
      </w:r>
    </w:p>
    <w:p w14:paraId="77121517" w14:textId="77777777" w:rsidR="00544243" w:rsidRPr="003D1E6F" w:rsidRDefault="00544243" w:rsidP="00544243">
      <w:pPr>
        <w:rPr>
          <w:rFonts w:ascii="Times" w:hAnsi="Times"/>
          <w:sz w:val="16"/>
          <w:szCs w:val="16"/>
        </w:rPr>
      </w:pPr>
    </w:p>
    <w:p w14:paraId="0BBFFB82" w14:textId="77777777" w:rsidR="00544243" w:rsidRPr="003D1E6F" w:rsidRDefault="00544243" w:rsidP="00544243">
      <w:pPr>
        <w:rPr>
          <w:rFonts w:ascii="Times" w:hAnsi="Times"/>
          <w:sz w:val="16"/>
          <w:szCs w:val="16"/>
        </w:rPr>
      </w:pPr>
      <w:r w:rsidRPr="003D1E6F">
        <w:rPr>
          <w:rFonts w:ascii="Times" w:hAnsi="Times"/>
          <w:sz w:val="16"/>
          <w:szCs w:val="16"/>
        </w:rPr>
        <w:t xml:space="preserve">4. Smith, A., Pedersen, E. J., Forster, D. E., McCullough, M. E., &amp; Lieberman, D. (2017). Original Article: Cooperation: The roles of interpersonal value and gratitude. Evolution </w:t>
      </w:r>
      <w:proofErr w:type="gramStart"/>
      <w:r w:rsidRPr="003D1E6F">
        <w:rPr>
          <w:rFonts w:ascii="Times" w:hAnsi="Times"/>
          <w:sz w:val="16"/>
          <w:szCs w:val="16"/>
        </w:rPr>
        <w:t>And</w:t>
      </w:r>
      <w:proofErr w:type="gramEnd"/>
      <w:r w:rsidRPr="003D1E6F">
        <w:rPr>
          <w:rFonts w:ascii="Times" w:hAnsi="Times"/>
          <w:sz w:val="16"/>
          <w:szCs w:val="16"/>
        </w:rPr>
        <w:t xml:space="preserve"> Human Behavior, 38695-703.</w:t>
      </w:r>
    </w:p>
    <w:p w14:paraId="5F207048" w14:textId="77777777" w:rsidR="00544243" w:rsidRPr="003D1E6F" w:rsidRDefault="00544243" w:rsidP="00544243">
      <w:pPr>
        <w:rPr>
          <w:rFonts w:ascii="Times" w:hAnsi="Times"/>
          <w:sz w:val="16"/>
          <w:szCs w:val="16"/>
        </w:rPr>
      </w:pPr>
      <w:r w:rsidRPr="003D1E6F">
        <w:rPr>
          <w:rFonts w:ascii="Times" w:hAnsi="Times"/>
          <w:sz w:val="16"/>
          <w:szCs w:val="16"/>
        </w:rPr>
        <w:t xml:space="preserve"> </w:t>
      </w:r>
    </w:p>
    <w:p w14:paraId="7A8073FD" w14:textId="77777777" w:rsidR="00544243" w:rsidRPr="003D1E6F" w:rsidRDefault="00544243" w:rsidP="00544243">
      <w:pPr>
        <w:rPr>
          <w:rFonts w:ascii="Times" w:hAnsi="Times"/>
          <w:sz w:val="16"/>
          <w:szCs w:val="16"/>
        </w:rPr>
      </w:pPr>
      <w:r w:rsidRPr="003D1E6F">
        <w:rPr>
          <w:rFonts w:ascii="Times" w:hAnsi="Times"/>
          <w:sz w:val="16"/>
          <w:szCs w:val="16"/>
        </w:rPr>
        <w:t xml:space="preserve">5. Toussaint, L., &amp; Friedman, P. (2009). Forgiveness, gratitude, and </w:t>
      </w:r>
      <w:proofErr w:type="spellStart"/>
      <w:r w:rsidRPr="003D1E6F">
        <w:rPr>
          <w:rFonts w:ascii="Times" w:hAnsi="Times"/>
          <w:sz w:val="16"/>
          <w:szCs w:val="16"/>
        </w:rPr>
        <w:t>well being</w:t>
      </w:r>
      <w:proofErr w:type="spellEnd"/>
      <w:r w:rsidRPr="003D1E6F">
        <w:rPr>
          <w:rFonts w:ascii="Times" w:hAnsi="Times"/>
          <w:sz w:val="16"/>
          <w:szCs w:val="16"/>
        </w:rPr>
        <w:t xml:space="preserve">: The mediating role of affect and beliefs. Journal </w:t>
      </w:r>
      <w:proofErr w:type="gramStart"/>
      <w:r w:rsidRPr="003D1E6F">
        <w:rPr>
          <w:rFonts w:ascii="Times" w:hAnsi="Times"/>
          <w:sz w:val="16"/>
          <w:szCs w:val="16"/>
        </w:rPr>
        <w:t>Of</w:t>
      </w:r>
      <w:proofErr w:type="gramEnd"/>
      <w:r w:rsidRPr="003D1E6F">
        <w:rPr>
          <w:rFonts w:ascii="Times" w:hAnsi="Times"/>
          <w:sz w:val="16"/>
          <w:szCs w:val="16"/>
        </w:rPr>
        <w:t xml:space="preserve"> Happiness Studies, 10(6), 635-654. </w:t>
      </w:r>
    </w:p>
    <w:p w14:paraId="2CEE9817" w14:textId="77777777" w:rsidR="00AE3E37" w:rsidRPr="00934B9C" w:rsidRDefault="00AE3E37">
      <w:pPr>
        <w:spacing w:line="200" w:lineRule="exact"/>
        <w:jc w:val="both"/>
        <w:rPr>
          <w:rFonts w:ascii="Times New Roman" w:hAnsi="Times New Roman" w:cs="Times New Roman"/>
          <w:sz w:val="18"/>
          <w:szCs w:val="18"/>
        </w:rPr>
        <w:sectPr w:rsidR="00AE3E37" w:rsidRPr="00934B9C">
          <w:type w:val="continuous"/>
          <w:pgSz w:w="11910" w:h="16840"/>
          <w:pgMar w:top="1740" w:right="600" w:bottom="840" w:left="620" w:header="720" w:footer="720" w:gutter="0"/>
          <w:cols w:num="2" w:space="720" w:equalWidth="0">
            <w:col w:w="5214" w:space="138"/>
            <w:col w:w="5338"/>
          </w:cols>
        </w:sectPr>
      </w:pPr>
    </w:p>
    <w:p w14:paraId="1E6301C5" w14:textId="77777777" w:rsidR="002F272D" w:rsidRDefault="002F272D">
      <w:pPr>
        <w:spacing w:before="62"/>
        <w:ind w:left="4217" w:right="4235"/>
        <w:jc w:val="center"/>
        <w:rPr>
          <w:rFonts w:ascii="Baskerville Old Face" w:hAnsi="Baskerville Old Face" w:cs="Times New Roman"/>
          <w:b/>
          <w:sz w:val="20"/>
          <w:szCs w:val="18"/>
        </w:rPr>
      </w:pPr>
    </w:p>
    <w:p w14:paraId="526E7365" w14:textId="77777777" w:rsidR="00274E44" w:rsidRPr="00934B9C" w:rsidRDefault="00274E44">
      <w:pPr>
        <w:spacing w:before="62"/>
        <w:ind w:left="4217" w:right="4235"/>
        <w:jc w:val="center"/>
        <w:rPr>
          <w:rFonts w:ascii="Times New Roman" w:hAnsi="Times New Roman" w:cs="Times New Roman"/>
          <w:sz w:val="18"/>
          <w:szCs w:val="18"/>
        </w:rPr>
      </w:pPr>
      <w:r>
        <w:rPr>
          <w:rFonts w:ascii="Baskerville Old Face" w:hAnsi="Baskerville Old Face" w:cs="Times New Roman"/>
          <w:b/>
          <w:sz w:val="20"/>
          <w:szCs w:val="18"/>
        </w:rPr>
        <w:t>Acicca2@pride</w:t>
      </w:r>
      <w:r w:rsidRPr="00274E44">
        <w:rPr>
          <w:rFonts w:ascii="Times New Roman" w:hAnsi="Times New Roman" w:cs="Times New Roman"/>
          <w:sz w:val="18"/>
          <w:szCs w:val="18"/>
        </w:rPr>
        <w:t>.</w:t>
      </w:r>
      <w:r>
        <w:rPr>
          <w:rFonts w:ascii="Times New Roman" w:hAnsi="Times New Roman" w:cs="Times New Roman"/>
          <w:sz w:val="18"/>
          <w:szCs w:val="18"/>
        </w:rPr>
        <w:t>hofstra.edu</w:t>
      </w:r>
    </w:p>
    <w:p w14:paraId="724DCB9F" w14:textId="77777777" w:rsidR="00AE3E37" w:rsidRPr="00934B9C" w:rsidRDefault="00292ED9">
      <w:pPr>
        <w:pStyle w:val="BodyText"/>
        <w:spacing w:before="2"/>
        <w:rPr>
          <w:rFonts w:ascii="Times New Roman" w:hAnsi="Times New Roman" w:cs="Times New Roman"/>
        </w:rPr>
      </w:pPr>
      <w:r w:rsidRPr="00934B9C">
        <w:rPr>
          <w:rFonts w:ascii="Times New Roman" w:hAnsi="Times New Roman" w:cs="Times New Roman"/>
          <w:noProof/>
        </w:rPr>
        <mc:AlternateContent>
          <mc:Choice Requires="wps">
            <w:drawing>
              <wp:anchor distT="0" distB="0" distL="0" distR="0" simplePos="0" relativeHeight="1072" behindDoc="0" locked="0" layoutInCell="1" allowOverlap="1" wp14:anchorId="499EAE1F" wp14:editId="678AB24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D897C1D" w14:textId="77777777" w:rsidR="00AE3E37" w:rsidRPr="00E6098D" w:rsidRDefault="000C7DFC">
      <w:pPr>
        <w:pStyle w:val="BodyText"/>
        <w:rPr>
          <w:rFonts w:ascii="Baskerville Old Face" w:hAnsi="Baskerville Old Face" w:cs="Times New Roman"/>
          <w:sz w:val="20"/>
        </w:rPr>
      </w:pPr>
      <w:r w:rsidRPr="00E6098D">
        <w:rPr>
          <w:rFonts w:ascii="Baskerville Old Face" w:hAnsi="Baskerville Old Face" w:cs="Times New Roman"/>
          <w:b/>
          <w:sz w:val="20"/>
        </w:rPr>
        <w:t>Presenting Author details</w:t>
      </w:r>
      <w:r w:rsidRPr="00E6098D">
        <w:rPr>
          <w:rFonts w:ascii="Baskerville Old Face" w:hAnsi="Baskerville Old Face" w:cs="Times New Roman"/>
          <w:sz w:val="20"/>
        </w:rPr>
        <w:t>:</w:t>
      </w:r>
    </w:p>
    <w:p w14:paraId="0E6B2700" w14:textId="77777777" w:rsidR="004C4EB0" w:rsidRDefault="00274E44">
      <w:pPr>
        <w:pStyle w:val="BodyText"/>
        <w:rPr>
          <w:rFonts w:ascii="Times New Roman" w:hAnsi="Times New Roman" w:cs="Times New Roman"/>
        </w:rPr>
      </w:pPr>
      <w:r>
        <w:rPr>
          <w:rFonts w:ascii="Times New Roman" w:hAnsi="Times New Roman" w:cs="Times New Roman"/>
        </w:rPr>
        <w:t>Full Name: Anthony Ciccarello</w:t>
      </w:r>
    </w:p>
    <w:p w14:paraId="3FC3E2E6" w14:textId="77777777" w:rsidR="000C7DFC" w:rsidRPr="00934B9C" w:rsidRDefault="00934B9C">
      <w:pPr>
        <w:pStyle w:val="BodyText"/>
        <w:rPr>
          <w:rFonts w:ascii="Times New Roman" w:hAnsi="Times New Roman" w:cs="Times New Roman"/>
        </w:rPr>
      </w:pPr>
      <w:r>
        <w:rPr>
          <w:rFonts w:ascii="Times New Roman" w:hAnsi="Times New Roman" w:cs="Times New Roman"/>
        </w:rPr>
        <w:t>Contact N</w:t>
      </w:r>
      <w:r w:rsidR="000C7DFC" w:rsidRPr="00934B9C">
        <w:rPr>
          <w:rFonts w:ascii="Times New Roman" w:hAnsi="Times New Roman" w:cs="Times New Roman"/>
        </w:rPr>
        <w:t>umber:</w:t>
      </w:r>
      <w:r w:rsidR="00274E44">
        <w:rPr>
          <w:rFonts w:ascii="Times New Roman" w:hAnsi="Times New Roman" w:cs="Times New Roman"/>
        </w:rPr>
        <w:t xml:space="preserve"> 516-456-1469</w:t>
      </w:r>
    </w:p>
    <w:p w14:paraId="58E4585C" w14:textId="77777777" w:rsidR="000C7DFC" w:rsidRPr="00934B9C" w:rsidRDefault="00E6098D" w:rsidP="000C7DFC">
      <w:pPr>
        <w:pStyle w:val="BodyText"/>
        <w:rPr>
          <w:rFonts w:ascii="Times New Roman" w:hAnsi="Times New Roman" w:cs="Times New Roman"/>
        </w:rPr>
      </w:pPr>
      <w:r>
        <w:rPr>
          <w:rFonts w:ascii="Times New Roman" w:hAnsi="Times New Roman" w:cs="Times New Roman"/>
        </w:rPr>
        <w:t xml:space="preserve">Conference </w:t>
      </w:r>
      <w:r w:rsidR="000C7DFC" w:rsidRPr="00934B9C">
        <w:rPr>
          <w:rFonts w:ascii="Times New Roman" w:hAnsi="Times New Roman" w:cs="Times New Roman"/>
        </w:rPr>
        <w:t>Session</w:t>
      </w:r>
      <w:r>
        <w:rPr>
          <w:rFonts w:ascii="Times New Roman" w:hAnsi="Times New Roman" w:cs="Times New Roman"/>
        </w:rPr>
        <w:t xml:space="preserve"> Name</w:t>
      </w:r>
      <w:r w:rsidR="00455E16">
        <w:rPr>
          <w:rFonts w:ascii="Times New Roman" w:hAnsi="Times New Roman" w:cs="Times New Roman"/>
        </w:rPr>
        <w:t>/Track Name</w:t>
      </w:r>
      <w:r w:rsidR="000C7DFC" w:rsidRPr="00934B9C">
        <w:rPr>
          <w:rFonts w:ascii="Times New Roman" w:hAnsi="Times New Roman" w:cs="Times New Roman"/>
        </w:rPr>
        <w:t>:</w:t>
      </w:r>
    </w:p>
    <w:p w14:paraId="4B1EB436" w14:textId="77777777" w:rsidR="000C7DFC" w:rsidRPr="00934B9C" w:rsidRDefault="000C7DFC" w:rsidP="000C7DFC">
      <w:pPr>
        <w:pStyle w:val="BodyText"/>
        <w:rPr>
          <w:rFonts w:ascii="Times New Roman" w:hAnsi="Times New Roman" w:cs="Times New Roman"/>
        </w:rPr>
      </w:pPr>
      <w:r w:rsidRPr="00934B9C">
        <w:rPr>
          <w:rFonts w:ascii="Times New Roman" w:hAnsi="Times New Roman" w:cs="Times New Roman"/>
        </w:rPr>
        <w:t xml:space="preserve">Category: </w:t>
      </w:r>
      <w:r w:rsidR="00934B9C">
        <w:rPr>
          <w:rFonts w:ascii="Times New Roman" w:hAnsi="Times New Roman" w:cs="Times New Roman"/>
        </w:rPr>
        <w:t xml:space="preserve">Type of Presentation: </w:t>
      </w:r>
      <w:r w:rsidR="00274E44">
        <w:rPr>
          <w:rFonts w:ascii="Times New Roman" w:hAnsi="Times New Roman" w:cs="Times New Roman"/>
        </w:rPr>
        <w:t>Poster</w:t>
      </w:r>
    </w:p>
    <w:p w14:paraId="73F45FF1" w14:textId="77777777" w:rsidR="00AE3E37" w:rsidRPr="00E6098D" w:rsidRDefault="00A9710C" w:rsidP="005F7347">
      <w:pPr>
        <w:spacing w:before="39"/>
        <w:rPr>
          <w:rFonts w:ascii="Baskerville Old Face" w:hAnsi="Baskerville Old Face" w:cs="Times New Roman"/>
          <w:b/>
          <w:sz w:val="20"/>
          <w:szCs w:val="24"/>
        </w:rPr>
        <w:sectPr w:rsidR="00AE3E37" w:rsidRPr="00E6098D">
          <w:type w:val="continuous"/>
          <w:pgSz w:w="11910" w:h="16840"/>
          <w:pgMar w:top="1740" w:right="600" w:bottom="840" w:left="620" w:header="720" w:footer="720" w:gutter="0"/>
          <w:cols w:space="720"/>
        </w:sectPr>
      </w:pPr>
      <w:r w:rsidRPr="00E6098D">
        <w:rPr>
          <w:rFonts w:ascii="Baskerville Old Face" w:hAnsi="Baskerville Old Face" w:cs="Times New Roman"/>
          <w:b/>
          <w:sz w:val="20"/>
          <w:szCs w:val="24"/>
        </w:rPr>
        <w:t>Notes/Comments:</w:t>
      </w:r>
    </w:p>
    <w:p w14:paraId="0111A913" w14:textId="77777777" w:rsidR="000523A2" w:rsidRDefault="000523A2">
      <w:pPr>
        <w:rPr>
          <w:rFonts w:ascii="Minion Pro"/>
          <w:sz w:val="26"/>
          <w:szCs w:val="18"/>
        </w:rPr>
      </w:pPr>
    </w:p>
    <w:p w14:paraId="1D8FEF95" w14:textId="77777777" w:rsidR="005F7347" w:rsidRDefault="005F7347" w:rsidP="00E6098D">
      <w:pPr>
        <w:pStyle w:val="BodyText"/>
        <w:spacing w:before="3"/>
        <w:rPr>
          <w:rFonts w:ascii="Minion Pro"/>
          <w:sz w:val="26"/>
        </w:rPr>
      </w:pPr>
    </w:p>
    <w:sectPr w:rsidR="005F734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FA1596" w14:textId="77777777" w:rsidR="00EB19C9" w:rsidRDefault="00EB19C9">
      <w:r>
        <w:separator/>
      </w:r>
    </w:p>
  </w:endnote>
  <w:endnote w:type="continuationSeparator" w:id="0">
    <w:p w14:paraId="61083896" w14:textId="77777777" w:rsidR="00EB19C9" w:rsidRDefault="00EB1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Mangal">
    <w:panose1 w:val="02040503050203030202"/>
    <w:charset w:val="00"/>
    <w:family w:val="auto"/>
    <w:pitch w:val="variable"/>
    <w:sig w:usb0="00008003" w:usb1="00000000" w:usb2="00000000" w:usb3="00000000" w:csb0="00000001" w:csb1="00000000"/>
  </w:font>
  <w:font w:name="Tw Cen MT">
    <w:panose1 w:val="020B0602020104020603"/>
    <w:charset w:val="00"/>
    <w:family w:val="swiss"/>
    <w:pitch w:val="variable"/>
    <w:sig w:usb0="00000003" w:usb1="00000000" w:usb2="00000000" w:usb3="00000000" w:csb0="00000003" w:csb1="00000000"/>
  </w:font>
  <w:font w:name="Minion Pro">
    <w:altName w:val="Cambria Math"/>
    <w:charset w:val="00"/>
    <w:family w:val="auto"/>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skerville Old Face">
    <w:panose1 w:val="02020602080505020303"/>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
    <w:panose1 w:val="02000500000000000000"/>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60EFF7"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6FFECC51" wp14:editId="1CF12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EE015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2B72BB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32F64F" w14:textId="77777777" w:rsidR="00EB19C9" w:rsidRDefault="00EB19C9">
      <w:r>
        <w:separator/>
      </w:r>
    </w:p>
  </w:footnote>
  <w:footnote w:type="continuationSeparator" w:id="0">
    <w:p w14:paraId="52CDE5E7" w14:textId="77777777" w:rsidR="00EB19C9" w:rsidRDefault="00EB19C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9E9A5F" w14:textId="77777777" w:rsidR="00AE3E37" w:rsidRDefault="007448C1">
    <w:pPr>
      <w:pStyle w:val="BodyText"/>
      <w:spacing w:line="14" w:lineRule="auto"/>
      <w:rPr>
        <w:sz w:val="20"/>
      </w:rPr>
    </w:pPr>
    <w:r>
      <w:rPr>
        <w:noProof/>
      </w:rPr>
      <w:drawing>
        <wp:inline distT="0" distB="0" distL="0" distR="0" wp14:anchorId="2F4754AB" wp14:editId="5E87F62B">
          <wp:extent cx="6788150" cy="8813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sitive Psychology 2018.jpg"/>
                  <pic:cNvPicPr/>
                </pic:nvPicPr>
                <pic:blipFill>
                  <a:blip r:embed="rId1">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inline>
      </w:drawing>
    </w:r>
    <w:r w:rsidR="00292ED9">
      <w:rPr>
        <w:noProof/>
      </w:rPr>
      <mc:AlternateContent>
        <mc:Choice Requires="wps">
          <w:drawing>
            <wp:anchor distT="0" distB="0" distL="114300" distR="114300" simplePos="0" relativeHeight="503311904" behindDoc="1" locked="0" layoutInCell="1" allowOverlap="1" wp14:anchorId="20FBA57E" wp14:editId="71088C6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B8B8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DD58513"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23A2"/>
    <w:rsid w:val="000C0BE1"/>
    <w:rsid w:val="000C7DFC"/>
    <w:rsid w:val="000E2911"/>
    <w:rsid w:val="001263DF"/>
    <w:rsid w:val="00142E57"/>
    <w:rsid w:val="00274E44"/>
    <w:rsid w:val="00292ED9"/>
    <w:rsid w:val="002A6A63"/>
    <w:rsid w:val="002B4D67"/>
    <w:rsid w:val="002F272D"/>
    <w:rsid w:val="003C074E"/>
    <w:rsid w:val="003D724E"/>
    <w:rsid w:val="00404E5B"/>
    <w:rsid w:val="00414F7B"/>
    <w:rsid w:val="004355DC"/>
    <w:rsid w:val="00455E16"/>
    <w:rsid w:val="004749B4"/>
    <w:rsid w:val="00494130"/>
    <w:rsid w:val="004A1B34"/>
    <w:rsid w:val="004C4EB0"/>
    <w:rsid w:val="004F3523"/>
    <w:rsid w:val="005407FD"/>
    <w:rsid w:val="00544243"/>
    <w:rsid w:val="00554297"/>
    <w:rsid w:val="005973B9"/>
    <w:rsid w:val="005A30E2"/>
    <w:rsid w:val="005B3A56"/>
    <w:rsid w:val="005F7347"/>
    <w:rsid w:val="006060CE"/>
    <w:rsid w:val="0063497F"/>
    <w:rsid w:val="006424E1"/>
    <w:rsid w:val="006E46F9"/>
    <w:rsid w:val="007448C1"/>
    <w:rsid w:val="007C5CF7"/>
    <w:rsid w:val="007E4073"/>
    <w:rsid w:val="00805126"/>
    <w:rsid w:val="00873DF0"/>
    <w:rsid w:val="008756E6"/>
    <w:rsid w:val="008B15BF"/>
    <w:rsid w:val="008D06F8"/>
    <w:rsid w:val="00934B9C"/>
    <w:rsid w:val="009655A4"/>
    <w:rsid w:val="009B2D44"/>
    <w:rsid w:val="009E47A0"/>
    <w:rsid w:val="00A07E82"/>
    <w:rsid w:val="00A82CF0"/>
    <w:rsid w:val="00A9710C"/>
    <w:rsid w:val="00AE3E37"/>
    <w:rsid w:val="00B21A57"/>
    <w:rsid w:val="00C33602"/>
    <w:rsid w:val="00C50527"/>
    <w:rsid w:val="00C83398"/>
    <w:rsid w:val="00C9684E"/>
    <w:rsid w:val="00CD6F55"/>
    <w:rsid w:val="00DE3104"/>
    <w:rsid w:val="00E2195C"/>
    <w:rsid w:val="00E34C4B"/>
    <w:rsid w:val="00E6098D"/>
    <w:rsid w:val="00E7241B"/>
    <w:rsid w:val="00EB19C9"/>
    <w:rsid w:val="00EB4988"/>
    <w:rsid w:val="00ED1E4A"/>
    <w:rsid w:val="00EE15B2"/>
    <w:rsid w:val="00F433FF"/>
    <w:rsid w:val="00F72EEA"/>
    <w:rsid w:val="00F84CAE"/>
    <w:rsid w:val="00F96931"/>
    <w:rsid w:val="00FC7438"/>
    <w:rsid w:val="00FF41C8"/>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1FCC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0523A2"/>
    <w:pPr>
      <w:widowControl/>
      <w:spacing w:before="100" w:beforeAutospacing="1" w:after="100" w:afterAutospacing="1"/>
    </w:pPr>
    <w:rPr>
      <w:rFonts w:ascii="Times New Roman" w:eastAsia="Times New Roman" w:hAnsi="Times New Roman" w:cs="Times New Roman"/>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21231012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2.tiff"/><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537</Words>
  <Characters>3067</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Anthony Ciccarello</cp:lastModifiedBy>
  <cp:revision>2</cp:revision>
  <cp:lastPrinted>2017-05-10T10:45:00Z</cp:lastPrinted>
  <dcterms:created xsi:type="dcterms:W3CDTF">2017-11-05T23:53:00Z</dcterms:created>
  <dcterms:modified xsi:type="dcterms:W3CDTF">2017-11-05T23:53:00Z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