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6B3E" w:rsidRPr="00036B3E" w:rsidRDefault="009D24B3" w:rsidP="00036B3E">
      <w:pPr>
        <w:pStyle w:val="NoSpacing"/>
        <w:jc w:val="center"/>
        <w:rPr>
          <w:rFonts w:ascii="Times New Roman" w:hAnsi="Times New Roman"/>
          <w:color w:val="548DD4" w:themeColor="text2" w:themeTint="99"/>
          <w:sz w:val="44"/>
          <w:szCs w:val="44"/>
        </w:rPr>
      </w:pPr>
      <w:r>
        <w:rPr>
          <w:rFonts w:ascii="Times New Roman" w:hAnsi="Times New Roman"/>
          <w:color w:val="548DD4" w:themeColor="text2" w:themeTint="99"/>
          <w:sz w:val="44"/>
          <w:szCs w:val="44"/>
        </w:rPr>
        <w:t xml:space="preserve">Interactive studies on gold nanoparticles decorated natural biopolymers with Bovine Serum Albumin </w:t>
      </w:r>
    </w:p>
    <w:p w:rsidR="009D24B3" w:rsidRDefault="009D24B3" w:rsidP="002C1EFB">
      <w:pPr>
        <w:pStyle w:val="BodyText"/>
        <w:spacing w:before="73" w:line="198" w:lineRule="exact"/>
        <w:ind w:left="100" w:right="5987"/>
        <w:rPr>
          <w:rFonts w:ascii="Arial"/>
        </w:rPr>
      </w:pPr>
      <w:r>
        <w:rPr>
          <w:rFonts w:ascii="Arial"/>
        </w:rPr>
        <w:t>Nathiya Dhananjayan, Wilson Jeyaraj</w:t>
      </w:r>
    </w:p>
    <w:p w:rsidR="00AE3E37" w:rsidRDefault="009D24B3" w:rsidP="002C1EFB">
      <w:pPr>
        <w:pStyle w:val="BodyText"/>
        <w:spacing w:before="73" w:line="198" w:lineRule="exact"/>
        <w:ind w:left="100" w:right="5987"/>
        <w:rPr>
          <w:rFonts w:ascii="Arial"/>
          <w:sz w:val="20"/>
        </w:rPr>
      </w:pPr>
      <w:r>
        <w:rPr>
          <w:rFonts w:ascii="Arial"/>
        </w:rPr>
        <w:t xml:space="preserve">Bioelectronics and Biosensors Department, Alagappa University, Karaikudi, </w:t>
      </w:r>
      <w:r w:rsidR="00915F85">
        <w:rPr>
          <w:rFonts w:ascii="Arial"/>
        </w:rPr>
        <w:t xml:space="preserve">Tamil Nadu, </w:t>
      </w:r>
      <w:r>
        <w:rPr>
          <w:rFonts w:ascii="Arial"/>
        </w:rPr>
        <w:t>India</w:t>
      </w:r>
      <w:r w:rsidR="005973B9">
        <w:rPr>
          <w:rFonts w:ascii="Arial"/>
        </w:rPr>
        <w:t xml:space="preserve">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9D24B3" w:rsidRPr="009D24B3" w:rsidRDefault="009D24B3" w:rsidP="009D24B3">
      <w:pPr>
        <w:pStyle w:val="Heading3"/>
        <w:spacing w:before="74"/>
        <w:jc w:val="both"/>
        <w:rPr>
          <w:sz w:val="18"/>
          <w:szCs w:val="18"/>
        </w:rPr>
      </w:pPr>
      <w:r w:rsidRPr="009D24B3">
        <w:rPr>
          <w:rFonts w:ascii="Tw Cen MT" w:hAnsi="Tw Cen MT"/>
          <w:b w:val="0"/>
          <w:bCs w:val="0"/>
          <w:sz w:val="18"/>
          <w:szCs w:val="18"/>
          <w:lang w:val="en-IN"/>
        </w:rPr>
        <w:t xml:space="preserve">Research and development of conductive hybrid materials based on biocompatible matrices has been greatly rising, can be achieved by combining novel nanoparticles and natural </w:t>
      </w:r>
      <w:r w:rsidRPr="009D24B3">
        <w:rPr>
          <w:rFonts w:ascii="Tw Cen MT" w:hAnsi="Tw Cen MT"/>
          <w:b w:val="0"/>
          <w:bCs w:val="0"/>
          <w:sz w:val="18"/>
          <w:szCs w:val="18"/>
        </w:rPr>
        <w:t>polysaccharides</w:t>
      </w:r>
      <w:r w:rsidRPr="009D24B3">
        <w:rPr>
          <w:rFonts w:ascii="Tw Cen MT" w:hAnsi="Tw Cen MT"/>
          <w:b w:val="0"/>
          <w:bCs w:val="0"/>
          <w:sz w:val="18"/>
          <w:szCs w:val="18"/>
          <w:lang w:val="en-IN"/>
        </w:rPr>
        <w:t xml:space="preserve">. These </w:t>
      </w:r>
      <w:r w:rsidRPr="009D24B3">
        <w:rPr>
          <w:rFonts w:ascii="Tw Cen MT" w:hAnsi="Tw Cen MT"/>
          <w:b w:val="0"/>
          <w:bCs w:val="0"/>
          <w:sz w:val="18"/>
          <w:szCs w:val="18"/>
        </w:rPr>
        <w:t xml:space="preserve">polysaccharides such as gum acacia (GA), guar gum (GG) and carrageenan (CA) have been recently identified as a potential candidate for biosensing and biomedical field. The electrocatalytic activity of these can be correspondingly increased by the functionalization with gold nanoparticles (Au NPs). Therefore Au NP decorated conducting hydrogel network was prepared from negatively charged polysaccharides by one-pot chemical synthesis method. The decoration of Au NP onto the surface of polysaccharides was as a result of interactive forces such as electrosteric, electrostatic and vander waals force over different pH ranges. Bovine serum albumin (BSA) is an important protein model due to its water soluble nature and antioxidant property leads to drug disposition and efficacy in biomedical applications. The interactive studies of Au decorated GA, GG, CA with BSA contribute to the sustainable development of hydrogel based electrode materials in detection of protein. The Au@GA, Au@GG and Au@CA get confirmed by SEM, EDAX, XRD, Raman and FT-IR analysis. The protein interactive study for Au decorated hydrogel with BSA was investigated using UV-Vis sphectrophotometer and attributed the </w:t>
      </w:r>
      <w:r w:rsidRPr="009D24B3">
        <w:rPr>
          <w:rFonts w:ascii="Tw Cen MT" w:hAnsi="Tw Cen MT"/>
          <w:b w:val="0"/>
          <w:bCs w:val="0"/>
          <w:sz w:val="18"/>
          <w:szCs w:val="18"/>
          <w:lang w:val="en-IN"/>
        </w:rPr>
        <w:t xml:space="preserve">excellent affirmation </w:t>
      </w:r>
      <w:r w:rsidRPr="009D24B3">
        <w:rPr>
          <w:rFonts w:ascii="Tw Cen MT" w:hAnsi="Tw Cen MT"/>
          <w:b w:val="0"/>
          <w:bCs w:val="0"/>
          <w:sz w:val="18"/>
          <w:szCs w:val="18"/>
        </w:rPr>
        <w:t>of BSA absorption</w:t>
      </w:r>
      <w:r w:rsidR="00FE5C4E">
        <w:rPr>
          <w:rFonts w:ascii="Tw Cen MT" w:hAnsi="Tw Cen MT"/>
          <w:b w:val="0"/>
          <w:bCs w:val="0"/>
          <w:sz w:val="18"/>
          <w:szCs w:val="18"/>
        </w:rPr>
        <w:t xml:space="preserve"> at 280 nm</w:t>
      </w:r>
      <w:r w:rsidRPr="009D24B3">
        <w:rPr>
          <w:rFonts w:ascii="Tw Cen MT" w:hAnsi="Tw Cen MT"/>
          <w:b w:val="0"/>
          <w:bCs w:val="0"/>
          <w:sz w:val="18"/>
          <w:szCs w:val="18"/>
        </w:rPr>
        <w:t>. Interestingly, the prepared Au decorated hydrogel composites exhibited enhanced protein absorption with</w:t>
      </w:r>
      <w:r w:rsidRPr="009D24B3">
        <w:rPr>
          <w:rFonts w:ascii="Tw Cen MT" w:hAnsi="Tw Cen MT"/>
          <w:b w:val="0"/>
          <w:bCs w:val="0"/>
          <w:sz w:val="18"/>
          <w:szCs w:val="18"/>
          <w:lang w:val="en-IN"/>
        </w:rPr>
        <w:t xml:space="preserve"> long-term stability and can be used as a low-cost and high efficiency catalyst for biomedical applications.</w:t>
      </w:r>
    </w:p>
    <w:p w:rsidR="00AE3E37" w:rsidRDefault="00A9710C">
      <w:pPr>
        <w:pStyle w:val="Heading3"/>
        <w:spacing w:before="74"/>
      </w:pPr>
      <w:r>
        <w:rPr>
          <w:b w:val="0"/>
        </w:rPr>
        <w:br w:type="column"/>
      </w:r>
      <w:r>
        <w:rPr>
          <w:color w:val="BF5A14"/>
        </w:rPr>
        <w:lastRenderedPageBreak/>
        <w:t>Image</w:t>
      </w:r>
    </w:p>
    <w:p w:rsidR="00AE3E37" w:rsidRDefault="000A12A8">
      <w:pPr>
        <w:pStyle w:val="BodyText"/>
        <w:spacing w:before="2"/>
        <w:rPr>
          <w:rFonts w:ascii="Arial"/>
          <w:b/>
          <w:sz w:val="16"/>
        </w:rPr>
      </w:pPr>
      <w:bookmarkStart w:id="0" w:name="_GoBack"/>
      <w:bookmarkEnd w:id="0"/>
      <w:r>
        <w:rPr>
          <w:rFonts w:ascii="Arial"/>
          <w:b/>
          <w:noProof/>
          <w:sz w:val="16"/>
          <w:lang w:bidi="ta-IN"/>
        </w:rPr>
        <w:drawing>
          <wp:inline distT="0" distB="0" distL="0" distR="0">
            <wp:extent cx="2958236" cy="2287031"/>
            <wp:effectExtent l="19050" t="0" r="0" b="0"/>
            <wp:docPr id="2" name="Picture 2" descr="E:\natpolyAu work\Graph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atpolyAu work\Graph2.tif"/>
                    <pic:cNvPicPr>
                      <a:picLocks noChangeAspect="1" noChangeArrowheads="1"/>
                    </pic:cNvPicPr>
                  </pic:nvPicPr>
                  <pic:blipFill>
                    <a:blip r:embed="rId9"/>
                    <a:srcRect/>
                    <a:stretch>
                      <a:fillRect/>
                    </a:stretch>
                  </pic:blipFill>
                  <pic:spPr bwMode="auto">
                    <a:xfrm>
                      <a:off x="0" y="0"/>
                      <a:ext cx="2965425" cy="2292588"/>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t xml:space="preserve">Recent Publications </w:t>
      </w:r>
    </w:p>
    <w:p w:rsidR="005973B9" w:rsidRDefault="00CC5148" w:rsidP="002C1EFB">
      <w:pPr>
        <w:pStyle w:val="ListParagraph"/>
        <w:numPr>
          <w:ilvl w:val="0"/>
          <w:numId w:val="3"/>
        </w:numPr>
        <w:tabs>
          <w:tab w:val="left" w:pos="384"/>
        </w:tabs>
        <w:spacing w:before="103" w:line="216" w:lineRule="exact"/>
        <w:ind w:right="138"/>
        <w:rPr>
          <w:sz w:val="18"/>
        </w:rPr>
      </w:pPr>
      <w:r>
        <w:rPr>
          <w:sz w:val="18"/>
        </w:rPr>
        <w:t>Nathiya Dhana</w:t>
      </w:r>
      <w:r w:rsidR="00BC4665">
        <w:rPr>
          <w:sz w:val="18"/>
        </w:rPr>
        <w:t>njayan et</w:t>
      </w:r>
      <w:r>
        <w:rPr>
          <w:sz w:val="18"/>
        </w:rPr>
        <w:t xml:space="preserve"> al</w:t>
      </w:r>
      <w:r w:rsidR="00BC4665">
        <w:rPr>
          <w:sz w:val="18"/>
        </w:rPr>
        <w:t>.,</w:t>
      </w:r>
      <w:r>
        <w:rPr>
          <w:sz w:val="18"/>
        </w:rPr>
        <w:t xml:space="preserve"> (2017</w:t>
      </w:r>
      <w:r w:rsidR="005973B9">
        <w:rPr>
          <w:sz w:val="18"/>
        </w:rPr>
        <w:t>)</w:t>
      </w:r>
      <w:r>
        <w:rPr>
          <w:sz w:val="18"/>
        </w:rPr>
        <w:t xml:space="preserve"> </w:t>
      </w:r>
      <w:r w:rsidRPr="00CC5148">
        <w:rPr>
          <w:sz w:val="18"/>
        </w:rPr>
        <w:t>Stable and Robust Nanobiocomposite Preparation Using Aminated guar gum (mimic activity of graphene) with electron beam irradiated polypyrrole and Ce-Ni bimetal: Effective role in simultaneous sensing of environmental pollutants and pseudocapacitor applications</w:t>
      </w:r>
      <w:r>
        <w:rPr>
          <w:sz w:val="18"/>
        </w:rPr>
        <w:t>. Electrochim Acta 246:484-496</w:t>
      </w:r>
      <w:r w:rsidR="005973B9" w:rsidRPr="005973B9">
        <w:rPr>
          <w:sz w:val="18"/>
        </w:rPr>
        <w:t>.</w:t>
      </w:r>
    </w:p>
    <w:p w:rsidR="005973B9" w:rsidRDefault="00BC4665" w:rsidP="005973B9">
      <w:pPr>
        <w:pStyle w:val="ListParagraph"/>
        <w:numPr>
          <w:ilvl w:val="0"/>
          <w:numId w:val="3"/>
        </w:numPr>
        <w:tabs>
          <w:tab w:val="left" w:pos="384"/>
        </w:tabs>
        <w:spacing w:line="216" w:lineRule="exact"/>
        <w:ind w:right="137" w:hanging="283"/>
        <w:rPr>
          <w:sz w:val="18"/>
        </w:rPr>
      </w:pPr>
      <w:r>
        <w:rPr>
          <w:sz w:val="18"/>
        </w:rPr>
        <w:t>Monica Losin et</w:t>
      </w:r>
      <w:r w:rsidR="00CC5148">
        <w:rPr>
          <w:sz w:val="18"/>
        </w:rPr>
        <w:t xml:space="preserve"> al</w:t>
      </w:r>
      <w:r>
        <w:rPr>
          <w:sz w:val="18"/>
        </w:rPr>
        <w:t>.,</w:t>
      </w:r>
      <w:r w:rsidR="00CC5148">
        <w:rPr>
          <w:sz w:val="18"/>
        </w:rPr>
        <w:t xml:space="preserve"> (2011</w:t>
      </w:r>
      <w:r w:rsidR="005973B9">
        <w:rPr>
          <w:sz w:val="18"/>
        </w:rPr>
        <w:t xml:space="preserve">) </w:t>
      </w:r>
      <w:r w:rsidR="00CC5148">
        <w:rPr>
          <w:sz w:val="18"/>
        </w:rPr>
        <w:t>Spectroscopic studies on pH-and thermally induced conformational changes of Bovine Serum Albumin adsorbed onto gold nanoparticles.</w:t>
      </w:r>
      <w:r w:rsidR="005973B9">
        <w:rPr>
          <w:sz w:val="18"/>
        </w:rPr>
        <w:t xml:space="preserve"> </w:t>
      </w:r>
      <w:r w:rsidR="00CC5148" w:rsidRPr="00CC5148">
        <w:rPr>
          <w:sz w:val="18"/>
        </w:rPr>
        <w:t xml:space="preserve">Journal of Photochemistry and Photobiology A: Chemistry </w:t>
      </w:r>
      <w:r w:rsidR="00CC5148">
        <w:rPr>
          <w:sz w:val="18"/>
        </w:rPr>
        <w:t>217:395-401</w:t>
      </w:r>
      <w:r w:rsidR="005973B9">
        <w:rPr>
          <w:sz w:val="18"/>
        </w:rPr>
        <w:t>.</w:t>
      </w:r>
    </w:p>
    <w:p w:rsidR="005973B9" w:rsidRDefault="00BC4665" w:rsidP="005973B9">
      <w:pPr>
        <w:pStyle w:val="ListParagraph"/>
        <w:numPr>
          <w:ilvl w:val="0"/>
          <w:numId w:val="3"/>
        </w:numPr>
        <w:tabs>
          <w:tab w:val="left" w:pos="384"/>
        </w:tabs>
        <w:spacing w:line="216" w:lineRule="exact"/>
        <w:ind w:right="138" w:hanging="283"/>
        <w:rPr>
          <w:sz w:val="18"/>
        </w:rPr>
      </w:pPr>
      <w:r>
        <w:rPr>
          <w:sz w:val="21"/>
          <w:szCs w:val="21"/>
        </w:rPr>
        <w:t xml:space="preserve">Jingjing Jiang et al., </w:t>
      </w:r>
      <w:r>
        <w:rPr>
          <w:sz w:val="18"/>
        </w:rPr>
        <w:t>(2014</w:t>
      </w:r>
      <w:r w:rsidR="005973B9">
        <w:rPr>
          <w:sz w:val="18"/>
        </w:rPr>
        <w:t>)</w:t>
      </w:r>
      <w:r>
        <w:rPr>
          <w:sz w:val="18"/>
        </w:rPr>
        <w:t xml:space="preserve"> </w:t>
      </w:r>
      <w:r w:rsidRPr="00BC4665">
        <w:rPr>
          <w:sz w:val="18"/>
        </w:rPr>
        <w:t>Nitrite electrochemical biosensing based on coupled graphene and gold nanoparticles</w:t>
      </w:r>
      <w:r w:rsidR="005973B9">
        <w:rPr>
          <w:sz w:val="18"/>
        </w:rPr>
        <w:t xml:space="preserve">. </w:t>
      </w:r>
      <w:r w:rsidRPr="00BC4665">
        <w:rPr>
          <w:sz w:val="18"/>
        </w:rPr>
        <w:t>Biosensors andBioelectronics</w:t>
      </w:r>
      <w:r>
        <w:rPr>
          <w:sz w:val="18"/>
        </w:rPr>
        <w:t xml:space="preserve"> </w:t>
      </w:r>
      <w:r w:rsidRPr="00BC4665">
        <w:rPr>
          <w:sz w:val="18"/>
        </w:rPr>
        <w:t>51</w:t>
      </w:r>
      <w:r>
        <w:rPr>
          <w:sz w:val="18"/>
        </w:rPr>
        <w:t>:</w:t>
      </w:r>
      <w:r w:rsidRPr="00BC4665">
        <w:rPr>
          <w:sz w:val="18"/>
        </w:rPr>
        <w:t>343–348</w:t>
      </w:r>
      <w:r w:rsidR="005973B9">
        <w:rPr>
          <w:sz w:val="18"/>
        </w:rPr>
        <w:t>.</w:t>
      </w:r>
    </w:p>
    <w:p w:rsidR="005973B9" w:rsidRPr="008208C3" w:rsidRDefault="00353950" w:rsidP="008208C3">
      <w:pPr>
        <w:pStyle w:val="ListParagraph"/>
        <w:numPr>
          <w:ilvl w:val="0"/>
          <w:numId w:val="3"/>
        </w:numPr>
        <w:tabs>
          <w:tab w:val="left" w:pos="384"/>
        </w:tabs>
        <w:spacing w:before="92" w:line="218" w:lineRule="exact"/>
        <w:ind w:hanging="283"/>
      </w:pPr>
      <w:r>
        <w:rPr>
          <w:sz w:val="18"/>
        </w:rPr>
        <w:t>Mandeep Singh Bakshi et al., (2011</w:t>
      </w:r>
      <w:r w:rsidR="005973B9">
        <w:rPr>
          <w:sz w:val="18"/>
        </w:rPr>
        <w:t xml:space="preserve">) </w:t>
      </w:r>
      <w:r>
        <w:rPr>
          <w:sz w:val="18"/>
        </w:rPr>
        <w:t>Protein films of Bovine serum albumin conjugated gold Nanoparticles: A synthetic route from bioconjugated nanoparticles to biodegradable protein films.</w:t>
      </w:r>
      <w:r w:rsidRPr="008208C3">
        <w:rPr>
          <w:sz w:val="18"/>
        </w:rPr>
        <w:t xml:space="preserve"> </w:t>
      </w:r>
      <w:r w:rsidR="008208C3" w:rsidRPr="008208C3">
        <w:rPr>
          <w:sz w:val="18"/>
        </w:rPr>
        <w:t>J. Phys. Chem. C 115</w:t>
      </w:r>
      <w:r w:rsidR="008208C3">
        <w:rPr>
          <w:sz w:val="18"/>
        </w:rPr>
        <w:t>:</w:t>
      </w:r>
      <w:r w:rsidR="008208C3" w:rsidRPr="008208C3">
        <w:rPr>
          <w:sz w:val="18"/>
        </w:rPr>
        <w:t>2982–2992</w:t>
      </w:r>
      <w:r w:rsidR="008208C3">
        <w:rPr>
          <w:sz w:val="18"/>
        </w:rPr>
        <w:t>.</w:t>
      </w:r>
    </w:p>
    <w:p w:rsidR="005973B9" w:rsidRPr="008208C3" w:rsidRDefault="005973B9" w:rsidP="008208C3">
      <w:pPr>
        <w:pStyle w:val="BodyText"/>
        <w:spacing w:before="85" w:line="216" w:lineRule="exact"/>
        <w:ind w:left="383" w:right="138" w:hanging="284"/>
        <w:jc w:val="both"/>
        <w:rPr>
          <w:rFonts w:ascii="Calibri" w:hAnsi="Calibri"/>
          <w:b/>
          <w:bCs/>
        </w:rPr>
      </w:pPr>
      <w:r>
        <w:rPr>
          <w:rFonts w:ascii="Calibri" w:hAnsi="Calibri"/>
        </w:rPr>
        <w:t xml:space="preserve">5. </w:t>
      </w:r>
      <w:hyperlink r:id="rId10" w:history="1">
        <w:r w:rsidR="008208C3" w:rsidRPr="008208C3">
          <w:rPr>
            <w:rStyle w:val="Hyperlink"/>
            <w:rFonts w:ascii="Calibri" w:hAnsi="Calibri"/>
            <w:color w:val="000000" w:themeColor="text1"/>
            <w:u w:val="none"/>
          </w:rPr>
          <w:t>Poonam Khullar</w:t>
        </w:r>
      </w:hyperlink>
      <w:r w:rsidR="008208C3" w:rsidRPr="008208C3">
        <w:rPr>
          <w:rFonts w:ascii="Calibri" w:hAnsi="Calibri"/>
        </w:rPr>
        <w:t xml:space="preserve"> </w:t>
      </w:r>
      <w:r w:rsidR="008208C3">
        <w:rPr>
          <w:rFonts w:ascii="Calibri" w:hAnsi="Calibri"/>
        </w:rPr>
        <w:t>et al.,</w:t>
      </w:r>
      <w:r w:rsidR="008208C3" w:rsidRPr="008208C3">
        <w:rPr>
          <w:rFonts w:ascii="Calibri" w:hAnsi="Calibri"/>
        </w:rPr>
        <w:t xml:space="preserve"> </w:t>
      </w:r>
      <w:r w:rsidR="008208C3">
        <w:rPr>
          <w:rFonts w:ascii="Calibri" w:hAnsi="Calibri"/>
        </w:rPr>
        <w:t>(2012</w:t>
      </w:r>
      <w:r>
        <w:rPr>
          <w:rFonts w:ascii="Calibri" w:hAnsi="Calibri"/>
        </w:rPr>
        <w:t xml:space="preserve">) </w:t>
      </w:r>
      <w:r w:rsidR="008208C3" w:rsidRPr="008208C3">
        <w:rPr>
          <w:rFonts w:ascii="Calibri" w:hAnsi="Calibri"/>
        </w:rPr>
        <w:t>Bovine Serum Albumin Bioconjugated Gold Nanoparticles: Synthesis, Hemolysis, and Cytotoxicity toward Cancer Cell Line</w:t>
      </w:r>
      <w:r w:rsidR="008208C3">
        <w:rPr>
          <w:rFonts w:ascii="Calibri" w:hAnsi="Calibri"/>
        </w:rPr>
        <w:t>s.</w:t>
      </w:r>
      <w:r w:rsidR="008208C3" w:rsidRPr="008208C3">
        <w:rPr>
          <w:rFonts w:ascii="Calibri" w:hAnsi="Calibri"/>
          <w:color w:val="000000" w:themeColor="text1"/>
        </w:rPr>
        <w:t xml:space="preserve"> </w:t>
      </w:r>
      <w:hyperlink r:id="rId11" w:history="1">
        <w:r w:rsidR="008208C3">
          <w:rPr>
            <w:rStyle w:val="Hyperlink"/>
            <w:rFonts w:ascii="Calibri" w:hAnsi="Calibri"/>
            <w:color w:val="000000" w:themeColor="text1"/>
            <w:u w:val="none"/>
          </w:rPr>
          <w:t>J. Phys. Chem. C 116:</w:t>
        </w:r>
        <w:r w:rsidR="008208C3" w:rsidRPr="008208C3">
          <w:rPr>
            <w:rStyle w:val="Hyperlink"/>
            <w:rFonts w:ascii="Calibri" w:hAnsi="Calibri"/>
            <w:color w:val="000000" w:themeColor="text1"/>
            <w:u w:val="none"/>
          </w:rPr>
          <w:t>8834-8843</w:t>
        </w:r>
      </w:hyperlink>
      <w:r w:rsidR="008208C3" w:rsidRPr="008208C3">
        <w:rPr>
          <w:rFonts w:ascii="Calibri" w:hAnsi="Calibri"/>
          <w:color w:val="000000" w:themeColor="text1"/>
        </w:rPr>
        <w:t xml:space="preserve"> </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03439">
      <w:pPr>
        <w:pStyle w:val="BodyText"/>
        <w:spacing w:line="40" w:lineRule="exact"/>
        <w:ind w:left="2202"/>
        <w:rPr>
          <w:rFonts w:ascii="Calibri"/>
          <w:sz w:val="4"/>
        </w:rPr>
      </w:pPr>
      <w:r w:rsidRPr="00203439">
        <w:rPr>
          <w:rFonts w:ascii="Calibri"/>
          <w:noProof/>
          <w:sz w:val="4"/>
          <w:lang w:val="en-IN" w:eastAsia="en-IN"/>
        </w:rPr>
      </w:r>
      <w:r w:rsidRPr="00203439">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C508D0" w:rsidP="00404E5B">
      <w:pPr>
        <w:spacing w:before="92"/>
        <w:ind w:right="4234"/>
        <w:rPr>
          <w:rFonts w:ascii="Arial"/>
        </w:rPr>
      </w:pPr>
      <w:r>
        <w:rPr>
          <w:noProof/>
          <w:lang w:bidi="ta-IN"/>
        </w:rPr>
        <w:drawing>
          <wp:anchor distT="0" distB="0" distL="114300" distR="114300" simplePos="0" relativeHeight="251658240" behindDoc="0" locked="0" layoutInCell="1" allowOverlap="1">
            <wp:simplePos x="0" y="0"/>
            <wp:positionH relativeFrom="column">
              <wp:posOffset>-1526</wp:posOffset>
            </wp:positionH>
            <wp:positionV relativeFrom="paragraph">
              <wp:posOffset>57709</wp:posOffset>
            </wp:positionV>
            <wp:extent cx="632003" cy="621792"/>
            <wp:effectExtent l="19050" t="0" r="0" b="0"/>
            <wp:wrapNone/>
            <wp:docPr id="4" name="Picture 2" descr="D:\11MTNT504.jpg"/>
            <wp:cNvGraphicFramePr/>
            <a:graphic xmlns:a="http://schemas.openxmlformats.org/drawingml/2006/main">
              <a:graphicData uri="http://schemas.openxmlformats.org/drawingml/2006/picture">
                <pic:pic xmlns:pic="http://schemas.openxmlformats.org/drawingml/2006/picture">
                  <pic:nvPicPr>
                    <pic:cNvPr id="3073" name="Picture 1" descr="D:\11MTNT504.jpg"/>
                    <pic:cNvPicPr>
                      <a:picLocks noChangeAspect="1" noChangeArrowheads="1"/>
                    </pic:cNvPicPr>
                  </pic:nvPicPr>
                  <pic:blipFill>
                    <a:blip r:embed="rId12"/>
                    <a:srcRect/>
                    <a:stretch>
                      <a:fillRect/>
                    </a:stretch>
                  </pic:blipFill>
                  <pic:spPr bwMode="auto">
                    <a:xfrm>
                      <a:off x="0" y="0"/>
                      <a:ext cx="632003" cy="621792"/>
                    </a:xfrm>
                    <a:prstGeom prst="rect">
                      <a:avLst/>
                    </a:prstGeom>
                    <a:noFill/>
                  </pic:spPr>
                </pic:pic>
              </a:graphicData>
            </a:graphic>
          </wp:anchor>
        </w:drawing>
      </w:r>
      <w:r w:rsidR="008756E6">
        <w:rPr>
          <w:noProof/>
          <w:lang w:bidi="ta-IN"/>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C508D0">
        <w:rPr>
          <w:noProof/>
          <w:lang w:bidi="ta-IN"/>
        </w:rPr>
        <w:t xml:space="preserve"> </w:t>
      </w:r>
    </w:p>
    <w:p w:rsidR="00CA273D" w:rsidRPr="00CA273D" w:rsidRDefault="00CA273D" w:rsidP="00CA273D">
      <w:pPr>
        <w:spacing w:before="41" w:line="154" w:lineRule="exact"/>
        <w:ind w:left="213" w:right="231"/>
        <w:jc w:val="both"/>
        <w:rPr>
          <w:rFonts w:ascii="Arial"/>
          <w:sz w:val="14"/>
        </w:rPr>
      </w:pPr>
      <w:r w:rsidRPr="00CA273D">
        <w:rPr>
          <w:rFonts w:ascii="Arial"/>
          <w:sz w:val="14"/>
        </w:rPr>
        <w:t>Nathiya Dhananjayan has expertise in the field of developing biopolymer based electrodes for biosensor and supercapacitor applications.  Her research work interest is focused on the synthesis of nanomaterials, conducting biopolymers and irradiation of polymers for the construction of novel electrodes in the field of human health care monitoring. She has done this work after years of experience in research and teaching both in scientific and educational institutions. The given abstract is focused on interactive studies of novel biopolymer based nanocomposite towards protein which facilitates the application of biopolymers in biomedical applications.</w:t>
      </w:r>
    </w:p>
    <w:p w:rsidR="00AE3E37" w:rsidRDefault="00AE3E37">
      <w:pPr>
        <w:spacing w:before="41" w:line="154" w:lineRule="exact"/>
        <w:ind w:left="213" w:right="231"/>
        <w:jc w:val="both"/>
        <w:rPr>
          <w:rFonts w:ascii="Arial"/>
          <w:sz w:val="14"/>
        </w:rPr>
      </w:pPr>
    </w:p>
    <w:p w:rsidR="00AE3E37" w:rsidRPr="004A0DBA" w:rsidRDefault="00A9710C" w:rsidP="004A0DBA">
      <w:pPr>
        <w:spacing w:before="62"/>
        <w:ind w:left="4217" w:right="4235"/>
        <w:jc w:val="center"/>
        <w:rPr>
          <w:rFonts w:ascii="Arial"/>
          <w:sz w:val="14"/>
        </w:rPr>
      </w:pPr>
      <w:r>
        <w:rPr>
          <w:rFonts w:ascii="Arial"/>
          <w:sz w:val="14"/>
        </w:rPr>
        <w:t xml:space="preserve">Email: </w:t>
      </w:r>
      <w:hyperlink r:id="rId14" w:history="1">
        <w:r w:rsidR="00CA273D" w:rsidRPr="008D5FD9">
          <w:rPr>
            <w:rStyle w:val="Hyperlink"/>
            <w:rFonts w:ascii="Arial"/>
            <w:sz w:val="14"/>
          </w:rPr>
          <w:t>nathiyad725@gmail.com</w:t>
        </w:r>
      </w:hyperlink>
      <w:r w:rsidR="00203439" w:rsidRPr="00203439">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1F75" w:rsidRDefault="00761F75">
      <w:r>
        <w:separator/>
      </w:r>
    </w:p>
  </w:endnote>
  <w:endnote w:type="continuationSeparator" w:id="1">
    <w:p w:rsidR="00761F75" w:rsidRDefault="00761F7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Latha">
    <w:panose1 w:val="020B0604020202020204"/>
    <w:charset w:val="00"/>
    <w:family w:val="swiss"/>
    <w:pitch w:val="variable"/>
    <w:sig w:usb0="001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03439">
    <w:pPr>
      <w:pStyle w:val="BodyText"/>
      <w:spacing w:line="14" w:lineRule="auto"/>
      <w:rPr>
        <w:sz w:val="20"/>
      </w:rPr>
    </w:pPr>
    <w:r w:rsidRPr="00203439">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203439">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03439">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1F75" w:rsidRDefault="00761F75">
      <w:r>
        <w:separator/>
      </w:r>
    </w:p>
  </w:footnote>
  <w:footnote w:type="continuationSeparator" w:id="1">
    <w:p w:rsidR="00761F75" w:rsidRDefault="00761F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03439">
    <w:pPr>
      <w:pStyle w:val="BodyText"/>
      <w:spacing w:line="14" w:lineRule="auto"/>
      <w:rPr>
        <w:sz w:val="20"/>
      </w:rPr>
    </w:pPr>
    <w:r w:rsidRPr="00203439">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203439">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36B3E"/>
    <w:rsid w:val="000A12A8"/>
    <w:rsid w:val="000E2911"/>
    <w:rsid w:val="001263DF"/>
    <w:rsid w:val="00141D52"/>
    <w:rsid w:val="00203439"/>
    <w:rsid w:val="00292ED9"/>
    <w:rsid w:val="002C1EFB"/>
    <w:rsid w:val="00353950"/>
    <w:rsid w:val="00404E5B"/>
    <w:rsid w:val="00414F7B"/>
    <w:rsid w:val="004355DC"/>
    <w:rsid w:val="004749B4"/>
    <w:rsid w:val="00494130"/>
    <w:rsid w:val="004A0DBA"/>
    <w:rsid w:val="004F3523"/>
    <w:rsid w:val="00563879"/>
    <w:rsid w:val="005973B9"/>
    <w:rsid w:val="005B3A56"/>
    <w:rsid w:val="005F40C5"/>
    <w:rsid w:val="006060CE"/>
    <w:rsid w:val="0063497F"/>
    <w:rsid w:val="00761F75"/>
    <w:rsid w:val="008208C3"/>
    <w:rsid w:val="00873DF0"/>
    <w:rsid w:val="008756E6"/>
    <w:rsid w:val="008A5F5D"/>
    <w:rsid w:val="00915F85"/>
    <w:rsid w:val="009B2D44"/>
    <w:rsid w:val="009D24B3"/>
    <w:rsid w:val="00A07E82"/>
    <w:rsid w:val="00A9710C"/>
    <w:rsid w:val="00AE3E37"/>
    <w:rsid w:val="00B21A57"/>
    <w:rsid w:val="00B46F6E"/>
    <w:rsid w:val="00BC4665"/>
    <w:rsid w:val="00C33602"/>
    <w:rsid w:val="00C508D0"/>
    <w:rsid w:val="00CA273D"/>
    <w:rsid w:val="00CC2A16"/>
    <w:rsid w:val="00CC5148"/>
    <w:rsid w:val="00CD6F55"/>
    <w:rsid w:val="00DE3104"/>
    <w:rsid w:val="00EB01EA"/>
    <w:rsid w:val="00F72EEA"/>
    <w:rsid w:val="00F84CAE"/>
    <w:rsid w:val="00FE4A06"/>
    <w:rsid w:val="00FE5C4E"/>
  </w:rsids>
  <m:mathPr>
    <m:mathFont m:val="Cambria Math"/>
    <m:brkBin m:val="before"/>
    <m:brkBinSub m:val="--"/>
    <m:smallFrac/>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036B3E"/>
    <w:pPr>
      <w:widowControl/>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036B3E"/>
    <w:pPr>
      <w:widowControl/>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37650965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34237229">
      <w:bodyDiv w:val="1"/>
      <w:marLeft w:val="0"/>
      <w:marRight w:val="0"/>
      <w:marTop w:val="0"/>
      <w:marBottom w:val="0"/>
      <w:divBdr>
        <w:top w:val="none" w:sz="0" w:space="0" w:color="auto"/>
        <w:left w:val="none" w:sz="0" w:space="0" w:color="auto"/>
        <w:bottom w:val="none" w:sz="0" w:space="0" w:color="auto"/>
        <w:right w:val="none" w:sz="0" w:space="0" w:color="auto"/>
      </w:divBdr>
    </w:div>
    <w:div w:id="2079396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ubs.acs.org/action/showCitFormats?doi=10.1021%2Fjp300585d"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ubs.acs.org/author/Khullar%2C+Poonam" TargetMode="External"/><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hyperlink" Target="mailto:nathiyad725@gmail.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593</Words>
  <Characters>3382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nathiya</cp:lastModifiedBy>
  <cp:revision>8</cp:revision>
  <dcterms:created xsi:type="dcterms:W3CDTF">2018-02-24T01:26:00Z</dcterms:created>
  <dcterms:modified xsi:type="dcterms:W3CDTF">2018-02-24T01:29:00Z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