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11B00D" w14:textId="2509F6F0" w:rsidR="00FE5F16" w:rsidRPr="00A32B92" w:rsidRDefault="00A65553" w:rsidP="00A32B92">
      <w:pPr>
        <w:jc w:val="center"/>
        <w:rPr>
          <w:rFonts w:ascii="Arial" w:hAnsi="Arial" w:cs="Arial"/>
          <w:b/>
          <w:sz w:val="28"/>
          <w:szCs w:val="28"/>
        </w:rPr>
      </w:pPr>
      <w:r w:rsidRPr="00A65553">
        <w:rPr>
          <w:rFonts w:ascii="Arial" w:hAnsi="Arial" w:cs="Arial" w:hint="eastAsia"/>
          <w:b/>
          <w:bCs/>
          <w:sz w:val="28"/>
          <w:szCs w:val="28"/>
        </w:rPr>
        <w:t>Pendant</w:t>
      </w:r>
      <w:r w:rsidRPr="00A65553">
        <w:rPr>
          <w:rFonts w:ascii="Arial" w:hAnsi="Arial" w:cs="Arial"/>
          <w:b/>
          <w:bCs/>
          <w:sz w:val="28"/>
          <w:szCs w:val="28"/>
        </w:rPr>
        <w:t xml:space="preserve"> Homopolymer and Copolymers as Solution-Processable Thermally Activated Delayed Fluorescence Materials for Organic Light-Emitting Diods</w:t>
      </w:r>
    </w:p>
    <w:p w14:paraId="559B9A52" w14:textId="493F4CB3" w:rsidR="00A32B92" w:rsidRPr="00A32B92" w:rsidRDefault="00A65553" w:rsidP="00A32B92">
      <w:pPr>
        <w:jc w:val="center"/>
        <w:rPr>
          <w:rFonts w:ascii="Arial" w:hAnsi="Arial" w:cs="Arial"/>
          <w:b/>
        </w:rPr>
      </w:pPr>
      <w:r w:rsidRPr="00A65553">
        <w:rPr>
          <w:rFonts w:ascii="Arial" w:hAnsi="Arial" w:cs="Arial"/>
          <w:b/>
          <w:u w:val="single"/>
        </w:rPr>
        <w:t>S. Yan</w:t>
      </w:r>
      <w:r>
        <w:rPr>
          <w:rFonts w:ascii="Arial" w:hAnsi="Arial" w:cs="Arial"/>
          <w:b/>
        </w:rPr>
        <w:t>,</w:t>
      </w:r>
      <w:r w:rsidRPr="00A65553">
        <w:rPr>
          <w:rFonts w:ascii="Arial" w:hAnsi="Arial" w:cs="Arial" w:hint="eastAsia"/>
          <w:b/>
          <w:lang w:eastAsia="zh-CN"/>
        </w:rPr>
        <w:t xml:space="preserve"> </w:t>
      </w:r>
      <w:r w:rsidR="00136FDB" w:rsidRPr="00A65553">
        <w:rPr>
          <w:rFonts w:ascii="Arial" w:hAnsi="Arial" w:cs="Arial" w:hint="eastAsia"/>
          <w:b/>
          <w:lang w:eastAsia="zh-CN"/>
        </w:rPr>
        <w:t>Z</w:t>
      </w:r>
      <w:r w:rsidR="00A32B92" w:rsidRPr="00A65553">
        <w:rPr>
          <w:rFonts w:ascii="Arial" w:hAnsi="Arial" w:cs="Arial"/>
          <w:b/>
        </w:rPr>
        <w:t>.</w:t>
      </w:r>
      <w:r w:rsidR="00136FDB" w:rsidRPr="00A65553">
        <w:rPr>
          <w:rFonts w:ascii="Arial" w:hAnsi="Arial" w:cs="Arial" w:hint="eastAsia"/>
          <w:b/>
          <w:lang w:eastAsia="zh-CN"/>
        </w:rPr>
        <w:t xml:space="preserve"> Ren</w:t>
      </w:r>
      <w:r w:rsidR="00A32B92" w:rsidRPr="00A65553">
        <w:rPr>
          <w:rFonts w:ascii="Arial" w:hAnsi="Arial" w:cs="Arial"/>
          <w:b/>
        </w:rPr>
        <w:t xml:space="preserve"> </w:t>
      </w:r>
    </w:p>
    <w:p w14:paraId="4D7C0D16" w14:textId="07EC3A96" w:rsidR="00A32B92" w:rsidRPr="00A32B92" w:rsidRDefault="00B54DD6" w:rsidP="00A32B92">
      <w:pPr>
        <w:jc w:val="center"/>
        <w:rPr>
          <w:rFonts w:ascii="Arial" w:hAnsi="Arial" w:cs="Arial"/>
        </w:rPr>
      </w:pPr>
      <w:r>
        <w:rPr>
          <w:rFonts w:ascii="Arial" w:hAnsi="Arial" w:cs="Arial"/>
        </w:rPr>
        <w:t>Beijing</w:t>
      </w:r>
      <w:r w:rsidR="00A32B92" w:rsidRPr="00A32B92">
        <w:rPr>
          <w:rFonts w:ascii="Arial" w:hAnsi="Arial" w:cs="Arial"/>
        </w:rPr>
        <w:t xml:space="preserve"> University</w:t>
      </w:r>
      <w:r>
        <w:rPr>
          <w:rFonts w:ascii="Arial" w:hAnsi="Arial" w:cs="Arial"/>
        </w:rPr>
        <w:t xml:space="preserve"> of Chemical Technology</w:t>
      </w:r>
      <w:r w:rsidR="00A32B92" w:rsidRPr="00A32B92">
        <w:rPr>
          <w:rFonts w:ascii="Arial" w:hAnsi="Arial" w:cs="Arial"/>
        </w:rPr>
        <w:t xml:space="preserve">, </w:t>
      </w:r>
      <w:r>
        <w:rPr>
          <w:rFonts w:ascii="Arial" w:hAnsi="Arial" w:cs="Arial"/>
        </w:rPr>
        <w:t>College</w:t>
      </w:r>
      <w:r w:rsidR="00A32B92" w:rsidRPr="00A32B92">
        <w:rPr>
          <w:rFonts w:ascii="Arial" w:hAnsi="Arial" w:cs="Arial"/>
        </w:rPr>
        <w:t xml:space="preserve"> </w:t>
      </w:r>
      <w:r>
        <w:rPr>
          <w:rFonts w:ascii="Arial" w:hAnsi="Arial" w:cs="Arial"/>
        </w:rPr>
        <w:t>of Materials Science and Egineering</w:t>
      </w:r>
      <w:r w:rsidR="00A32B92" w:rsidRPr="00A32B92">
        <w:rPr>
          <w:rFonts w:ascii="Arial" w:hAnsi="Arial" w:cs="Arial"/>
        </w:rPr>
        <w:t xml:space="preserve">, </w:t>
      </w:r>
      <w:r>
        <w:rPr>
          <w:rFonts w:ascii="Arial" w:hAnsi="Arial" w:cs="Arial"/>
        </w:rPr>
        <w:t>Beijing, 100029, China</w:t>
      </w:r>
      <w:r w:rsidRPr="00A32B92">
        <w:rPr>
          <w:rFonts w:ascii="Arial" w:hAnsi="Arial" w:cs="Arial"/>
        </w:rPr>
        <w:t xml:space="preserve"> </w:t>
      </w:r>
      <w:r w:rsidR="00A32B92" w:rsidRPr="00A32B92">
        <w:rPr>
          <w:rFonts w:ascii="Arial" w:hAnsi="Arial" w:cs="Arial"/>
        </w:rPr>
        <w:br/>
      </w:r>
      <w:r w:rsidR="00A32B92" w:rsidRPr="00A32B92">
        <w:rPr>
          <w:rFonts w:ascii="Arial" w:hAnsi="Arial" w:cs="Arial"/>
          <w:b/>
        </w:rPr>
        <w:t xml:space="preserve">email: </w:t>
      </w:r>
      <w:r w:rsidR="00A65553">
        <w:rPr>
          <w:rFonts w:ascii="Arial" w:hAnsi="Arial" w:cs="Arial"/>
          <w:u w:val="single"/>
        </w:rPr>
        <w:t>skyan</w:t>
      </w:r>
      <w:r w:rsidR="00A32B92" w:rsidRPr="00A32B92">
        <w:rPr>
          <w:rFonts w:ascii="Arial" w:hAnsi="Arial" w:cs="Arial"/>
          <w:u w:val="single"/>
        </w:rPr>
        <w:t>@</w:t>
      </w:r>
      <w:r>
        <w:rPr>
          <w:rFonts w:ascii="Arial" w:hAnsi="Arial" w:cs="Arial"/>
          <w:u w:val="single"/>
        </w:rPr>
        <w:t>mail.buct.edu.cn</w:t>
      </w:r>
      <w:r w:rsidR="00A32B92" w:rsidRPr="00A32B92">
        <w:rPr>
          <w:rFonts w:ascii="Arial" w:hAnsi="Arial" w:cs="Arial"/>
          <w:b/>
          <w:u w:val="single"/>
        </w:rPr>
        <w:t xml:space="preserve"> </w:t>
      </w:r>
    </w:p>
    <w:p w14:paraId="2B0EE1E8" w14:textId="0BA12E5F" w:rsidR="00A32B92" w:rsidRPr="00A32B92" w:rsidRDefault="00A32B92" w:rsidP="00A32B92">
      <w:pPr>
        <w:jc w:val="center"/>
        <w:rPr>
          <w:rFonts w:ascii="Arial" w:hAnsi="Arial" w:cs="Arial"/>
          <w:b/>
        </w:rPr>
      </w:pPr>
      <w:r w:rsidRPr="00A32B92">
        <w:rPr>
          <w:rFonts w:ascii="Arial" w:hAnsi="Arial" w:cs="Arial"/>
          <w:b/>
        </w:rPr>
        <w:t>Summary</w:t>
      </w:r>
    </w:p>
    <w:p w14:paraId="74FD3DBF" w14:textId="27687193" w:rsidR="00A32B92" w:rsidRPr="00A32B92" w:rsidRDefault="00DA1407" w:rsidP="00A32B92">
      <w:pPr>
        <w:autoSpaceDE w:val="0"/>
        <w:autoSpaceDN w:val="0"/>
        <w:adjustRightInd w:val="0"/>
        <w:spacing w:after="0" w:line="240" w:lineRule="auto"/>
        <w:jc w:val="both"/>
        <w:rPr>
          <w:rFonts w:ascii="Arial" w:hAnsi="Arial" w:cs="Arial"/>
          <w:sz w:val="24"/>
          <w:szCs w:val="24"/>
        </w:rPr>
      </w:pPr>
      <w:r w:rsidRPr="00DA1407">
        <w:rPr>
          <w:rFonts w:ascii="Arial" w:hAnsi="Arial" w:cs="Arial"/>
          <w:sz w:val="24"/>
          <w:szCs w:val="24"/>
          <w:lang w:val="de-DE"/>
        </w:rPr>
        <w:t xml:space="preserve">This study reports a series of polymers with an insulating backbone and varying ratios of </w:t>
      </w:r>
      <w:r w:rsidRPr="00DA1407">
        <w:rPr>
          <w:rFonts w:ascii="Arial" w:hAnsi="Arial" w:cs="Arial"/>
          <w:bCs/>
          <w:sz w:val="24"/>
          <w:szCs w:val="24"/>
          <w:lang w:val="de-DE"/>
        </w:rPr>
        <w:t>2-(10</w:t>
      </w:r>
      <w:r w:rsidRPr="00DA1407">
        <w:rPr>
          <w:rFonts w:ascii="Arial" w:hAnsi="Arial" w:cs="Arial"/>
          <w:bCs/>
          <w:i/>
          <w:sz w:val="24"/>
          <w:szCs w:val="24"/>
          <w:lang w:val="de-DE"/>
        </w:rPr>
        <w:t>H</w:t>
      </w:r>
      <w:r w:rsidRPr="00DA1407">
        <w:rPr>
          <w:rFonts w:ascii="Arial" w:hAnsi="Arial" w:cs="Arial"/>
          <w:bCs/>
          <w:sz w:val="24"/>
          <w:szCs w:val="24"/>
          <w:lang w:val="de-DE"/>
        </w:rPr>
        <w:t>-phenothiazin-10-yl)dibenzothiophene</w:t>
      </w:r>
      <w:r w:rsidRPr="00DA1407">
        <w:rPr>
          <w:rFonts w:ascii="Arial" w:hAnsi="Arial" w:cs="Arial" w:hint="cs"/>
          <w:bCs/>
          <w:sz w:val="24"/>
          <w:szCs w:val="24"/>
          <w:lang w:val="de-DE"/>
        </w:rPr>
        <w:t>-</w:t>
      </w:r>
      <w:r w:rsidRPr="00DA1407">
        <w:rPr>
          <w:rFonts w:ascii="Arial" w:hAnsi="Arial" w:cs="Arial"/>
          <w:bCs/>
          <w:i/>
          <w:iCs/>
          <w:sz w:val="24"/>
          <w:szCs w:val="24"/>
          <w:lang w:val="de-DE"/>
        </w:rPr>
        <w:t>S</w:t>
      </w:r>
      <w:r w:rsidRPr="00DA1407">
        <w:rPr>
          <w:rFonts w:ascii="Arial" w:hAnsi="Arial" w:cs="Arial"/>
          <w:bCs/>
          <w:sz w:val="24"/>
          <w:szCs w:val="24"/>
          <w:lang w:val="de-DE"/>
        </w:rPr>
        <w:t>,</w:t>
      </w:r>
      <w:r w:rsidRPr="00DA1407">
        <w:rPr>
          <w:rFonts w:ascii="Arial" w:hAnsi="Arial" w:cs="Arial"/>
          <w:bCs/>
          <w:i/>
          <w:iCs/>
          <w:sz w:val="24"/>
          <w:szCs w:val="24"/>
          <w:lang w:val="de-DE"/>
        </w:rPr>
        <w:t>S</w:t>
      </w:r>
      <w:r w:rsidRPr="00DA1407">
        <w:rPr>
          <w:rFonts w:ascii="Arial" w:hAnsi="Arial" w:cs="Arial" w:hint="cs"/>
          <w:bCs/>
          <w:sz w:val="24"/>
          <w:szCs w:val="24"/>
          <w:lang w:val="de-DE"/>
        </w:rPr>
        <w:t>-</w:t>
      </w:r>
      <w:r w:rsidRPr="00DA1407">
        <w:rPr>
          <w:rFonts w:ascii="Arial" w:hAnsi="Arial" w:cs="Arial"/>
          <w:bCs/>
          <w:sz w:val="24"/>
          <w:szCs w:val="24"/>
          <w:lang w:val="de-DE"/>
        </w:rPr>
        <w:t>dioxide as a pendant TADF unit</w:t>
      </w:r>
      <w:r w:rsidRPr="00DA1407">
        <w:rPr>
          <w:rFonts w:ascii="Arial" w:hAnsi="Arial" w:cs="Arial"/>
          <w:sz w:val="24"/>
          <w:szCs w:val="24"/>
          <w:lang w:val="de-DE"/>
        </w:rPr>
        <w:t>.</w:t>
      </w:r>
      <w:r w:rsidRPr="00DA1407">
        <w:rPr>
          <w:rFonts w:ascii="Times New Roman" w:eastAsia="MS Mincho" w:hAnsi="Times New Roman" w:cs="Times New Roman"/>
          <w:bCs/>
          <w:sz w:val="24"/>
          <w:szCs w:val="24"/>
          <w:lang w:val="de-DE" w:eastAsia="ja-JP"/>
        </w:rPr>
        <w:t xml:space="preserve"> </w:t>
      </w:r>
      <w:r w:rsidRPr="00DA1407">
        <w:rPr>
          <w:rFonts w:ascii="Arial" w:hAnsi="Arial" w:cs="Arial"/>
          <w:bCs/>
          <w:sz w:val="24"/>
          <w:szCs w:val="24"/>
          <w:lang w:val="de-DE"/>
        </w:rPr>
        <w:t>Green emitting OLED devices employing</w:t>
      </w:r>
      <w:r w:rsidRPr="00DA1407">
        <w:rPr>
          <w:rFonts w:ascii="Arial" w:hAnsi="Arial" w:cs="Arial" w:hint="eastAsia"/>
          <w:bCs/>
          <w:sz w:val="24"/>
          <w:szCs w:val="24"/>
          <w:lang w:val="de-DE"/>
        </w:rPr>
        <w:t xml:space="preserve"> </w:t>
      </w:r>
      <w:r w:rsidRPr="00DA1407">
        <w:rPr>
          <w:rFonts w:ascii="Arial" w:hAnsi="Arial" w:cs="Arial"/>
          <w:bCs/>
          <w:sz w:val="24"/>
          <w:szCs w:val="24"/>
          <w:lang w:val="de-DE"/>
        </w:rPr>
        <w:t>these polymers as spin-coated emitting layers give high performance</w:t>
      </w:r>
      <w:r>
        <w:rPr>
          <w:rFonts w:ascii="Arial" w:hAnsi="Arial" w:cs="Arial" w:hint="eastAsia"/>
          <w:bCs/>
          <w:sz w:val="24"/>
          <w:szCs w:val="24"/>
          <w:lang w:val="de-DE" w:eastAsia="zh-CN"/>
        </w:rPr>
        <w:t>.</w:t>
      </w:r>
    </w:p>
    <w:p w14:paraId="3236B8A1" w14:textId="77777777" w:rsidR="00A32B92" w:rsidRPr="00A32B92" w:rsidRDefault="00A32B92" w:rsidP="00A32B92">
      <w:pPr>
        <w:autoSpaceDE w:val="0"/>
        <w:autoSpaceDN w:val="0"/>
        <w:adjustRightInd w:val="0"/>
        <w:spacing w:after="0" w:line="240" w:lineRule="auto"/>
        <w:jc w:val="both"/>
        <w:rPr>
          <w:rFonts w:ascii="Arial" w:hAnsi="Arial" w:cs="Arial"/>
          <w:sz w:val="24"/>
          <w:szCs w:val="24"/>
        </w:rPr>
      </w:pPr>
    </w:p>
    <w:p w14:paraId="7855D638" w14:textId="77777777" w:rsidR="00A32B92" w:rsidRPr="00A32B92" w:rsidRDefault="00A32B92" w:rsidP="00A32B92">
      <w:pPr>
        <w:autoSpaceDE w:val="0"/>
        <w:autoSpaceDN w:val="0"/>
        <w:adjustRightInd w:val="0"/>
        <w:spacing w:after="0" w:line="240" w:lineRule="auto"/>
        <w:jc w:val="both"/>
        <w:rPr>
          <w:rFonts w:ascii="Arial" w:hAnsi="Arial" w:cs="Arial"/>
          <w:b/>
          <w:sz w:val="24"/>
          <w:szCs w:val="24"/>
        </w:rPr>
      </w:pPr>
      <w:r w:rsidRPr="00A32B92">
        <w:rPr>
          <w:rFonts w:ascii="Arial" w:hAnsi="Arial" w:cs="Arial"/>
          <w:b/>
          <w:sz w:val="24"/>
          <w:szCs w:val="24"/>
        </w:rPr>
        <w:t>Introduction</w:t>
      </w:r>
      <w:r w:rsidR="00A12DCD">
        <w:rPr>
          <w:rFonts w:ascii="Arial" w:hAnsi="Arial" w:cs="Arial"/>
          <w:b/>
          <w:sz w:val="24"/>
          <w:szCs w:val="24"/>
        </w:rPr>
        <w:br/>
      </w:r>
    </w:p>
    <w:p w14:paraId="10082B77" w14:textId="40DE3336" w:rsidR="00A32B92" w:rsidRPr="00DA1407" w:rsidRDefault="00DA1407" w:rsidP="00051B6B">
      <w:pPr>
        <w:autoSpaceDE w:val="0"/>
        <w:autoSpaceDN w:val="0"/>
        <w:adjustRightInd w:val="0"/>
        <w:spacing w:after="0" w:line="240" w:lineRule="auto"/>
        <w:jc w:val="both"/>
        <w:rPr>
          <w:rFonts w:ascii="Arial" w:hAnsi="Arial" w:cs="Arial"/>
          <w:sz w:val="24"/>
          <w:szCs w:val="24"/>
        </w:rPr>
      </w:pPr>
      <w:r w:rsidRPr="00DA1407">
        <w:rPr>
          <w:rFonts w:ascii="Arial" w:hAnsi="Arial" w:cs="Arial"/>
          <w:sz w:val="24"/>
          <w:szCs w:val="24"/>
          <w:lang w:val="de-DE"/>
        </w:rPr>
        <w:t>Organic light-emitting diode (OLED) devices have been in continous development since the early 1960s. To improve the external quantum efficiency (EQE) of OLEDs,  extensive studies have focused on synthesizing new emissive materials. One of the most important challenges in this field stems from the fact that fluorescent materials harvest emission only from singlet excitons and thus have the limitation of reaching a maximum internal quantum efficiency (IQE) of 25%, whereas statistically 75% triplet excitons are wasted. Metal-free,</w:t>
      </w:r>
      <w:r>
        <w:rPr>
          <w:rFonts w:ascii="Arial" w:hAnsi="Arial" w:cs="Arial" w:hint="eastAsia"/>
          <w:sz w:val="24"/>
          <w:szCs w:val="24"/>
          <w:lang w:val="de-DE" w:eastAsia="zh-CN"/>
        </w:rPr>
        <w:t xml:space="preserve"> </w:t>
      </w:r>
      <w:r w:rsidR="003B50C2" w:rsidRPr="003B50C2">
        <w:rPr>
          <w:rFonts w:ascii="Arial" w:hAnsi="Arial" w:cs="Arial"/>
          <w:sz w:val="24"/>
          <w:szCs w:val="24"/>
          <w:lang w:val="de-DE"/>
        </w:rPr>
        <w:t>thermally activated delayed fluorescence (TADF) materials are considered to be third-generation emitters for OLEDs.</w:t>
      </w:r>
      <w:r w:rsidR="003B50C2" w:rsidRPr="003B50C2">
        <w:rPr>
          <w:rFonts w:ascii="Arial" w:hAnsi="Arial" w:cs="Arial"/>
          <w:sz w:val="24"/>
          <w:szCs w:val="24"/>
          <w:vertAlign w:val="superscript"/>
          <w:lang w:val="de-DE"/>
        </w:rPr>
        <w:t xml:space="preserve">1-3 </w:t>
      </w:r>
      <w:r w:rsidR="003B50C2" w:rsidRPr="003B50C2">
        <w:rPr>
          <w:rFonts w:ascii="Arial" w:hAnsi="Arial" w:cs="Arial"/>
          <w:sz w:val="24"/>
          <w:szCs w:val="24"/>
          <w:lang w:val="de-DE"/>
        </w:rPr>
        <w:t xml:space="preserve">Polymeric TADF emitters are particularly suitable for solution processing technologies. However, synthesizing TADF oligomers and polymers is challenging and there are no clear guidelines for their optimal molecular structures. Firstly, simultaneously achieving a small </w:t>
      </w:r>
      <w:bookmarkStart w:id="0" w:name="OLE_LINK22"/>
      <w:r w:rsidR="003B50C2" w:rsidRPr="003B50C2">
        <w:rPr>
          <w:rFonts w:ascii="Arial" w:hAnsi="Arial" w:cs="Arial"/>
          <w:sz w:val="24"/>
          <w:szCs w:val="24"/>
          <w:lang w:val="de-DE"/>
        </w:rPr>
        <w:t>energy splitting between the singlet and triplet states (Δ</w:t>
      </w:r>
      <w:r w:rsidR="003B50C2" w:rsidRPr="003B50C2">
        <w:rPr>
          <w:rFonts w:ascii="Arial" w:hAnsi="Arial" w:cs="Arial"/>
          <w:i/>
          <w:iCs/>
          <w:sz w:val="24"/>
          <w:szCs w:val="24"/>
          <w:lang w:val="de-DE"/>
        </w:rPr>
        <w:t>E</w:t>
      </w:r>
      <w:r w:rsidR="003B50C2" w:rsidRPr="003B50C2">
        <w:rPr>
          <w:rFonts w:ascii="Arial" w:hAnsi="Arial" w:cs="Arial"/>
          <w:sz w:val="24"/>
          <w:szCs w:val="24"/>
          <w:vertAlign w:val="subscript"/>
          <w:lang w:val="de-DE"/>
        </w:rPr>
        <w:t>ST</w:t>
      </w:r>
      <w:r w:rsidR="003B50C2" w:rsidRPr="003B50C2">
        <w:rPr>
          <w:rFonts w:ascii="Arial" w:hAnsi="Arial" w:cs="Arial"/>
          <w:sz w:val="24"/>
          <w:szCs w:val="24"/>
          <w:lang w:val="de-DE"/>
        </w:rPr>
        <w:t>)</w:t>
      </w:r>
      <w:bookmarkEnd w:id="0"/>
      <w:r w:rsidR="003B50C2" w:rsidRPr="003B50C2">
        <w:rPr>
          <w:rFonts w:ascii="Arial" w:hAnsi="Arial" w:cs="Arial"/>
          <w:sz w:val="24"/>
          <w:szCs w:val="24"/>
          <w:lang w:val="de-DE"/>
        </w:rPr>
        <w:t xml:space="preserve"> and suppressing internal conversion is very difficult in molecules containing numerous atoms. Secondly, the triplet population in polymers is easily quenched by intramolecular and intermolecular triplet-t</w:t>
      </w:r>
      <w:bookmarkStart w:id="1" w:name="OLE_LINK3"/>
      <w:bookmarkStart w:id="2" w:name="OLE_LINK4"/>
      <w:r w:rsidR="003B50C2" w:rsidRPr="003B50C2">
        <w:rPr>
          <w:rFonts w:ascii="Arial" w:hAnsi="Arial" w:cs="Arial"/>
          <w:sz w:val="24"/>
          <w:szCs w:val="24"/>
          <w:lang w:val="de-DE"/>
        </w:rPr>
        <w:t>riplet an</w:t>
      </w:r>
      <w:bookmarkEnd w:id="1"/>
      <w:bookmarkEnd w:id="2"/>
      <w:r w:rsidR="003B50C2" w:rsidRPr="003B50C2">
        <w:rPr>
          <w:rFonts w:ascii="Arial" w:hAnsi="Arial" w:cs="Arial"/>
          <w:sz w:val="24"/>
          <w:szCs w:val="24"/>
          <w:lang w:val="de-DE"/>
        </w:rPr>
        <w:t>nihilation.</w:t>
      </w:r>
      <w:r w:rsidR="003B50C2" w:rsidRPr="003B50C2">
        <w:rPr>
          <w:rFonts w:ascii="Arial" w:hAnsi="Arial" w:cs="Arial"/>
          <w:sz w:val="24"/>
          <w:szCs w:val="24"/>
          <w:vertAlign w:val="superscript"/>
          <w:lang w:val="de-DE"/>
        </w:rPr>
        <w:t>4</w:t>
      </w:r>
      <w:r>
        <w:rPr>
          <w:rFonts w:ascii="Arial" w:hAnsi="Arial" w:cs="Arial" w:hint="eastAsia"/>
          <w:sz w:val="24"/>
          <w:szCs w:val="24"/>
          <w:lang w:val="de-DE" w:eastAsia="zh-CN"/>
        </w:rPr>
        <w:t xml:space="preserve"> </w:t>
      </w:r>
      <w:r w:rsidRPr="00DA1407">
        <w:rPr>
          <w:rFonts w:ascii="Arial" w:hAnsi="Arial" w:cs="Arial"/>
          <w:sz w:val="24"/>
          <w:szCs w:val="24"/>
          <w:lang w:val="de-DE"/>
        </w:rPr>
        <w:t>However, there are only a few reported examples of polymeric TADF materials.</w:t>
      </w:r>
    </w:p>
    <w:p w14:paraId="2FCCB45B" w14:textId="49487BAE" w:rsidR="00A32B92" w:rsidRPr="00051B6B" w:rsidRDefault="00DA1407" w:rsidP="00A32B92">
      <w:pPr>
        <w:autoSpaceDE w:val="0"/>
        <w:autoSpaceDN w:val="0"/>
        <w:adjustRightInd w:val="0"/>
        <w:spacing w:after="0" w:line="240" w:lineRule="auto"/>
        <w:jc w:val="both"/>
        <w:rPr>
          <w:rFonts w:ascii="Arial" w:hAnsi="Arial" w:cs="Arial"/>
          <w:sz w:val="24"/>
          <w:szCs w:val="24"/>
        </w:rPr>
      </w:pPr>
      <w:r>
        <w:rPr>
          <w:rFonts w:ascii="Arial" w:hAnsi="Arial" w:cs="Arial"/>
          <w:noProof/>
          <w:lang w:eastAsia="zh-CN"/>
        </w:rPr>
        <w:drawing>
          <wp:anchor distT="0" distB="0" distL="114300" distR="114300" simplePos="0" relativeHeight="251663360" behindDoc="0" locked="0" layoutInCell="1" allowOverlap="1" wp14:anchorId="09EE4FD5" wp14:editId="7E6FF381">
            <wp:simplePos x="0" y="0"/>
            <wp:positionH relativeFrom="margin">
              <wp:posOffset>3331845</wp:posOffset>
            </wp:positionH>
            <wp:positionV relativeFrom="paragraph">
              <wp:posOffset>-1270</wp:posOffset>
            </wp:positionV>
            <wp:extent cx="2417445" cy="2383790"/>
            <wp:effectExtent l="0" t="0" r="1905" b="0"/>
            <wp:wrapSquare wrapText="bothSides"/>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17445" cy="2383790"/>
                    </a:xfrm>
                    <a:prstGeom prst="rect">
                      <a:avLst/>
                    </a:prstGeom>
                    <a:noFill/>
                  </pic:spPr>
                </pic:pic>
              </a:graphicData>
            </a:graphic>
            <wp14:sizeRelH relativeFrom="margin">
              <wp14:pctWidth>0</wp14:pctWidth>
            </wp14:sizeRelH>
            <wp14:sizeRelV relativeFrom="margin">
              <wp14:pctHeight>0</wp14:pctHeight>
            </wp14:sizeRelV>
          </wp:anchor>
        </w:drawing>
      </w:r>
    </w:p>
    <w:p w14:paraId="5B2FC180" w14:textId="75C95ED8" w:rsidR="000F2A67" w:rsidRDefault="000F2A67" w:rsidP="000F2A67">
      <w:pPr>
        <w:autoSpaceDE w:val="0"/>
        <w:autoSpaceDN w:val="0"/>
        <w:adjustRightInd w:val="0"/>
        <w:spacing w:after="0" w:line="240" w:lineRule="auto"/>
        <w:jc w:val="both"/>
        <w:rPr>
          <w:rFonts w:ascii="Arial" w:hAnsi="Arial" w:cs="Arial"/>
          <w:b/>
          <w:sz w:val="24"/>
          <w:szCs w:val="24"/>
        </w:rPr>
      </w:pPr>
      <w:r>
        <w:rPr>
          <w:rFonts w:ascii="Arial" w:hAnsi="Arial" w:cs="Arial"/>
          <w:b/>
          <w:sz w:val="24"/>
          <w:szCs w:val="24"/>
        </w:rPr>
        <w:t>Discussion</w:t>
      </w:r>
    </w:p>
    <w:p w14:paraId="521F3F6A" w14:textId="3EC81235" w:rsidR="00A12DCD" w:rsidRDefault="00A12DCD" w:rsidP="000F2A67">
      <w:pPr>
        <w:autoSpaceDE w:val="0"/>
        <w:autoSpaceDN w:val="0"/>
        <w:adjustRightInd w:val="0"/>
        <w:spacing w:after="0" w:line="240" w:lineRule="auto"/>
        <w:jc w:val="both"/>
        <w:rPr>
          <w:rFonts w:ascii="Arial" w:hAnsi="Arial" w:cs="Arial"/>
          <w:b/>
          <w:sz w:val="24"/>
          <w:szCs w:val="24"/>
        </w:rPr>
      </w:pPr>
    </w:p>
    <w:p w14:paraId="13D09F46" w14:textId="401AE231" w:rsidR="000F2A67" w:rsidRDefault="009C25A2" w:rsidP="00CD0FE8">
      <w:pPr>
        <w:autoSpaceDE w:val="0"/>
        <w:autoSpaceDN w:val="0"/>
        <w:adjustRightInd w:val="0"/>
        <w:spacing w:after="0" w:line="240" w:lineRule="auto"/>
        <w:jc w:val="both"/>
        <w:rPr>
          <w:rFonts w:ascii="Arial" w:hAnsi="Arial" w:cs="Arial"/>
          <w:sz w:val="24"/>
          <w:szCs w:val="24"/>
        </w:rPr>
      </w:pPr>
      <w:r>
        <w:rPr>
          <w:noProof/>
          <w:lang w:eastAsia="zh-CN"/>
        </w:rPr>
        <mc:AlternateContent>
          <mc:Choice Requires="wps">
            <w:drawing>
              <wp:anchor distT="0" distB="0" distL="114300" distR="114300" simplePos="0" relativeHeight="251660288" behindDoc="0" locked="0" layoutInCell="1" allowOverlap="1" wp14:anchorId="761171D1" wp14:editId="18F72F07">
                <wp:simplePos x="0" y="0"/>
                <wp:positionH relativeFrom="margin">
                  <wp:align>right</wp:align>
                </wp:positionH>
                <wp:positionV relativeFrom="paragraph">
                  <wp:posOffset>1930400</wp:posOffset>
                </wp:positionV>
                <wp:extent cx="2346325" cy="635"/>
                <wp:effectExtent l="0" t="0" r="0" b="0"/>
                <wp:wrapSquare wrapText="bothSides"/>
                <wp:docPr id="4" name="Tekstiruutu 4"/>
                <wp:cNvGraphicFramePr/>
                <a:graphic xmlns:a="http://schemas.openxmlformats.org/drawingml/2006/main">
                  <a:graphicData uri="http://schemas.microsoft.com/office/word/2010/wordprocessingShape">
                    <wps:wsp>
                      <wps:cNvSpPr txBox="1"/>
                      <wps:spPr>
                        <a:xfrm>
                          <a:off x="0" y="0"/>
                          <a:ext cx="2346325" cy="635"/>
                        </a:xfrm>
                        <a:prstGeom prst="rect">
                          <a:avLst/>
                        </a:prstGeom>
                        <a:solidFill>
                          <a:prstClr val="white"/>
                        </a:solidFill>
                        <a:ln>
                          <a:noFill/>
                        </a:ln>
                        <a:effectLst/>
                      </wps:spPr>
                      <wps:txbx>
                        <w:txbxContent>
                          <w:p w14:paraId="1D5C62FA" w14:textId="174A40A0" w:rsidR="00A12DCD" w:rsidRPr="00A12DCD" w:rsidRDefault="00A12DCD" w:rsidP="00A12DCD">
                            <w:pPr>
                              <w:pStyle w:val="a5"/>
                              <w:jc w:val="both"/>
                              <w:rPr>
                                <w:rFonts w:ascii="Arial" w:hAnsi="Arial" w:cs="Arial"/>
                                <w:i w:val="0"/>
                                <w:noProof/>
                                <w:color w:val="auto"/>
                                <w:sz w:val="20"/>
                                <w:szCs w:val="20"/>
                              </w:rPr>
                            </w:pPr>
                            <w:r w:rsidRPr="00A12DCD">
                              <w:rPr>
                                <w:rFonts w:ascii="Arial" w:hAnsi="Arial" w:cs="Arial"/>
                                <w:i w:val="0"/>
                                <w:color w:val="auto"/>
                                <w:sz w:val="20"/>
                                <w:szCs w:val="20"/>
                              </w:rPr>
                              <w:t xml:space="preserve">Fig. </w:t>
                            </w:r>
                            <w:r w:rsidRPr="00A12DCD">
                              <w:rPr>
                                <w:rFonts w:ascii="Arial" w:hAnsi="Arial" w:cs="Arial"/>
                                <w:i w:val="0"/>
                                <w:color w:val="auto"/>
                                <w:sz w:val="20"/>
                                <w:szCs w:val="20"/>
                              </w:rPr>
                              <w:fldChar w:fldCharType="begin"/>
                            </w:r>
                            <w:r w:rsidRPr="00A12DCD">
                              <w:rPr>
                                <w:rFonts w:ascii="Arial" w:hAnsi="Arial" w:cs="Arial"/>
                                <w:i w:val="0"/>
                                <w:color w:val="auto"/>
                                <w:sz w:val="20"/>
                                <w:szCs w:val="20"/>
                              </w:rPr>
                              <w:instrText xml:space="preserve"> SEQ Fig. \* ARABIC </w:instrText>
                            </w:r>
                            <w:r w:rsidRPr="00A12DCD">
                              <w:rPr>
                                <w:rFonts w:ascii="Arial" w:hAnsi="Arial" w:cs="Arial"/>
                                <w:i w:val="0"/>
                                <w:color w:val="auto"/>
                                <w:sz w:val="20"/>
                                <w:szCs w:val="20"/>
                              </w:rPr>
                              <w:fldChar w:fldCharType="separate"/>
                            </w:r>
                            <w:r w:rsidR="00694187">
                              <w:rPr>
                                <w:rFonts w:ascii="Arial" w:hAnsi="Arial" w:cs="Arial"/>
                                <w:i w:val="0"/>
                                <w:noProof/>
                                <w:color w:val="auto"/>
                                <w:sz w:val="20"/>
                                <w:szCs w:val="20"/>
                              </w:rPr>
                              <w:t>1</w:t>
                            </w:r>
                            <w:r w:rsidRPr="00A12DCD">
                              <w:rPr>
                                <w:rFonts w:ascii="Arial" w:hAnsi="Arial" w:cs="Arial"/>
                                <w:i w:val="0"/>
                                <w:color w:val="auto"/>
                                <w:sz w:val="20"/>
                                <w:szCs w:val="20"/>
                              </w:rPr>
                              <w:fldChar w:fldCharType="end"/>
                            </w:r>
                            <w:r w:rsidRPr="00A12DCD">
                              <w:rPr>
                                <w:rFonts w:ascii="Arial" w:hAnsi="Arial" w:cs="Arial"/>
                                <w:i w:val="0"/>
                                <w:color w:val="auto"/>
                                <w:sz w:val="20"/>
                                <w:szCs w:val="20"/>
                              </w:rPr>
                              <w:t xml:space="preserve">. </w:t>
                            </w:r>
                            <w:r w:rsidR="001867EE">
                              <w:rPr>
                                <w:rFonts w:ascii="Arial" w:hAnsi="Arial" w:cs="Arial"/>
                                <w:i w:val="0"/>
                                <w:color w:val="auto"/>
                                <w:sz w:val="20"/>
                                <w:szCs w:val="20"/>
                              </w:rPr>
                              <w:t xml:space="preserve">Chemical Structure, device </w:t>
                            </w:r>
                            <w:r w:rsidR="00DA1407">
                              <w:rPr>
                                <w:rFonts w:ascii="Arial" w:hAnsi="Arial" w:cs="Arial"/>
                                <w:i w:val="0"/>
                                <w:color w:val="auto"/>
                                <w:sz w:val="20"/>
                                <w:szCs w:val="20"/>
                              </w:rPr>
                              <w:t>performance</w:t>
                            </w:r>
                            <w:r w:rsidR="001867EE">
                              <w:rPr>
                                <w:rFonts w:ascii="Arial" w:hAnsi="Arial" w:cs="Arial"/>
                                <w:i w:val="0"/>
                                <w:color w:val="auto"/>
                                <w:sz w:val="20"/>
                                <w:szCs w:val="20"/>
                              </w:rPr>
                              <w:t xml:space="preserve"> of </w:t>
                            </w:r>
                            <w:r w:rsidR="00DA1407">
                              <w:rPr>
                                <w:rFonts w:ascii="Arial" w:hAnsi="Arial" w:cs="Arial"/>
                                <w:i w:val="0"/>
                                <w:color w:val="auto"/>
                                <w:sz w:val="20"/>
                                <w:szCs w:val="20"/>
                              </w:rPr>
                              <w:t>copolymers</w:t>
                            </w:r>
                            <w:r w:rsidR="001867EE">
                              <w:rPr>
                                <w:rFonts w:ascii="Arial" w:hAnsi="Arial" w:cs="Arial"/>
                                <w:i w:val="0"/>
                                <w:color w:val="auto"/>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61171D1" id="_x0000_t202" coordsize="21600,21600" o:spt="202" path="m,l,21600r21600,l21600,xe">
                <v:stroke joinstyle="miter"/>
                <v:path gradientshapeok="t" o:connecttype="rect"/>
              </v:shapetype>
              <v:shape id="Tekstiruutu 4" o:spid="_x0000_s1026" type="#_x0000_t202" style="position:absolute;left:0;text-align:left;margin-left:133.55pt;margin-top:152pt;width:184.75pt;height:.05pt;z-index:2516602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" stroked="f">
                <v:textbox style="mso-fit-shape-to-text:t" inset="0,0,0,0">
                  <w:txbxContent>
                    <w:p w14:paraId="1D5C62FA" w14:textId="174A40A0" w:rsidR="00A12DCD" w:rsidRPr="00A12DCD" w:rsidRDefault="00A12DCD" w:rsidP="00A12DCD">
                      <w:pPr>
                        <w:pStyle w:val="a5"/>
                        <w:jc w:val="both"/>
                        <w:rPr>
                          <w:rFonts w:ascii="Arial" w:hAnsi="Arial" w:cs="Arial"/>
                          <w:i w:val="0"/>
                          <w:noProof/>
                          <w:color w:val="auto"/>
                          <w:sz w:val="20"/>
                          <w:szCs w:val="20"/>
                        </w:rPr>
                      </w:pPr>
                      <w:r w:rsidRPr="00A12DCD">
                        <w:rPr>
                          <w:rFonts w:ascii="Arial" w:hAnsi="Arial" w:cs="Arial"/>
                          <w:i w:val="0"/>
                          <w:color w:val="auto"/>
                          <w:sz w:val="20"/>
                          <w:szCs w:val="20"/>
                        </w:rPr>
                        <w:t xml:space="preserve">Fig. </w:t>
                      </w:r>
                      <w:r w:rsidRPr="00A12DCD">
                        <w:rPr>
                          <w:rFonts w:ascii="Arial" w:hAnsi="Arial" w:cs="Arial"/>
                          <w:i w:val="0"/>
                          <w:color w:val="auto"/>
                          <w:sz w:val="20"/>
                          <w:szCs w:val="20"/>
                        </w:rPr>
                        <w:fldChar w:fldCharType="begin"/>
                      </w:r>
                      <w:r w:rsidRPr="00A12DCD">
                        <w:rPr>
                          <w:rFonts w:ascii="Arial" w:hAnsi="Arial" w:cs="Arial"/>
                          <w:i w:val="0"/>
                          <w:color w:val="auto"/>
                          <w:sz w:val="20"/>
                          <w:szCs w:val="20"/>
                        </w:rPr>
                        <w:instrText xml:space="preserve"> SEQ Fig. \* ARABIC </w:instrText>
                      </w:r>
                      <w:r w:rsidRPr="00A12DCD">
                        <w:rPr>
                          <w:rFonts w:ascii="Arial" w:hAnsi="Arial" w:cs="Arial"/>
                          <w:i w:val="0"/>
                          <w:color w:val="auto"/>
                          <w:sz w:val="20"/>
                          <w:szCs w:val="20"/>
                        </w:rPr>
                        <w:fldChar w:fldCharType="separate"/>
                      </w:r>
                      <w:r w:rsidR="00694187">
                        <w:rPr>
                          <w:rFonts w:ascii="Arial" w:hAnsi="Arial" w:cs="Arial"/>
                          <w:i w:val="0"/>
                          <w:noProof/>
                          <w:color w:val="auto"/>
                          <w:sz w:val="20"/>
                          <w:szCs w:val="20"/>
                        </w:rPr>
                        <w:t>1</w:t>
                      </w:r>
                      <w:r w:rsidRPr="00A12DCD">
                        <w:rPr>
                          <w:rFonts w:ascii="Arial" w:hAnsi="Arial" w:cs="Arial"/>
                          <w:i w:val="0"/>
                          <w:color w:val="auto"/>
                          <w:sz w:val="20"/>
                          <w:szCs w:val="20"/>
                        </w:rPr>
                        <w:fldChar w:fldCharType="end"/>
                      </w:r>
                      <w:r w:rsidRPr="00A12DCD">
                        <w:rPr>
                          <w:rFonts w:ascii="Arial" w:hAnsi="Arial" w:cs="Arial"/>
                          <w:i w:val="0"/>
                          <w:color w:val="auto"/>
                          <w:sz w:val="20"/>
                          <w:szCs w:val="20"/>
                        </w:rPr>
                        <w:t xml:space="preserve">. </w:t>
                      </w:r>
                      <w:r w:rsidR="001867EE">
                        <w:rPr>
                          <w:rFonts w:ascii="Arial" w:hAnsi="Arial" w:cs="Arial"/>
                          <w:i w:val="0"/>
                          <w:color w:val="auto"/>
                          <w:sz w:val="20"/>
                          <w:szCs w:val="20"/>
                        </w:rPr>
                        <w:t xml:space="preserve">Chemical Structure, device </w:t>
                      </w:r>
                      <w:r w:rsidR="00DA1407">
                        <w:rPr>
                          <w:rFonts w:ascii="Arial" w:hAnsi="Arial" w:cs="Arial"/>
                          <w:i w:val="0"/>
                          <w:color w:val="auto"/>
                          <w:sz w:val="20"/>
                          <w:szCs w:val="20"/>
                        </w:rPr>
                        <w:t>performance</w:t>
                      </w:r>
                      <w:r w:rsidR="001867EE">
                        <w:rPr>
                          <w:rFonts w:ascii="Arial" w:hAnsi="Arial" w:cs="Arial"/>
                          <w:i w:val="0"/>
                          <w:color w:val="auto"/>
                          <w:sz w:val="20"/>
                          <w:szCs w:val="20"/>
                        </w:rPr>
                        <w:t xml:space="preserve"> of </w:t>
                      </w:r>
                      <w:r w:rsidR="00DA1407">
                        <w:rPr>
                          <w:rFonts w:ascii="Arial" w:hAnsi="Arial" w:cs="Arial"/>
                          <w:i w:val="0"/>
                          <w:color w:val="auto"/>
                          <w:sz w:val="20"/>
                          <w:szCs w:val="20"/>
                        </w:rPr>
                        <w:t>copolymers</w:t>
                      </w:r>
                      <w:r w:rsidR="001867EE">
                        <w:rPr>
                          <w:rFonts w:ascii="Arial" w:hAnsi="Arial" w:cs="Arial"/>
                          <w:i w:val="0"/>
                          <w:color w:val="auto"/>
                          <w:sz w:val="20"/>
                          <w:szCs w:val="20"/>
                        </w:rPr>
                        <w:t>.</w:t>
                      </w:r>
                    </w:p>
                  </w:txbxContent>
                </v:textbox>
                <w10:wrap type="square" anchorx="margin"/>
              </v:shape>
            </w:pict>
          </mc:Fallback>
        </mc:AlternateContent>
      </w:r>
      <w:r w:rsidR="00EE42EB">
        <w:rPr>
          <w:rFonts w:ascii="Arial" w:hAnsi="Arial" w:cs="Arial"/>
          <w:sz w:val="24"/>
          <w:szCs w:val="24"/>
        </w:rPr>
        <w:t xml:space="preserve">As shown in Fig.1, </w:t>
      </w:r>
      <w:r w:rsidR="00BE1B53" w:rsidRPr="00BE1B53">
        <w:rPr>
          <w:rFonts w:ascii="Arial" w:hAnsi="Arial" w:cs="Arial"/>
          <w:sz w:val="24"/>
          <w:szCs w:val="24"/>
          <w:lang w:val="de-DE"/>
        </w:rPr>
        <w:t xml:space="preserve">a series of polymers with an insulating backbone and varying ratios of </w:t>
      </w:r>
      <w:r w:rsidR="00BE1B53" w:rsidRPr="00BE1B53">
        <w:rPr>
          <w:rFonts w:ascii="Arial" w:hAnsi="Arial" w:cs="Arial"/>
          <w:bCs/>
          <w:sz w:val="24"/>
          <w:szCs w:val="24"/>
          <w:lang w:val="de-DE"/>
        </w:rPr>
        <w:t>2-(10</w:t>
      </w:r>
      <w:r w:rsidR="00BE1B53" w:rsidRPr="00BE1B53">
        <w:rPr>
          <w:rFonts w:ascii="Arial" w:hAnsi="Arial" w:cs="Arial"/>
          <w:bCs/>
          <w:i/>
          <w:sz w:val="24"/>
          <w:szCs w:val="24"/>
          <w:lang w:val="de-DE"/>
        </w:rPr>
        <w:t>H</w:t>
      </w:r>
      <w:r w:rsidR="00BE1B53" w:rsidRPr="00BE1B53">
        <w:rPr>
          <w:rFonts w:ascii="Arial" w:hAnsi="Arial" w:cs="Arial"/>
          <w:bCs/>
          <w:sz w:val="24"/>
          <w:szCs w:val="24"/>
          <w:lang w:val="de-DE"/>
        </w:rPr>
        <w:t>-phenothiazin-10-yl)dibenzothiophene</w:t>
      </w:r>
      <w:r w:rsidR="00BE1B53" w:rsidRPr="00BE1B53">
        <w:rPr>
          <w:rFonts w:ascii="Arial" w:hAnsi="Arial" w:cs="Arial" w:hint="cs"/>
          <w:bCs/>
          <w:sz w:val="24"/>
          <w:szCs w:val="24"/>
          <w:lang w:val="de-DE"/>
        </w:rPr>
        <w:t>-</w:t>
      </w:r>
      <w:r w:rsidR="00BE1B53" w:rsidRPr="00BE1B53">
        <w:rPr>
          <w:rFonts w:ascii="Arial" w:hAnsi="Arial" w:cs="Arial"/>
          <w:bCs/>
          <w:i/>
          <w:iCs/>
          <w:sz w:val="24"/>
          <w:szCs w:val="24"/>
          <w:lang w:val="de-DE"/>
        </w:rPr>
        <w:t>S</w:t>
      </w:r>
      <w:r w:rsidR="00BE1B53" w:rsidRPr="00BE1B53">
        <w:rPr>
          <w:rFonts w:ascii="Arial" w:hAnsi="Arial" w:cs="Arial"/>
          <w:bCs/>
          <w:sz w:val="24"/>
          <w:szCs w:val="24"/>
          <w:lang w:val="de-DE"/>
        </w:rPr>
        <w:t>,</w:t>
      </w:r>
      <w:r w:rsidR="00BE1B53" w:rsidRPr="00BE1B53">
        <w:rPr>
          <w:rFonts w:ascii="Arial" w:hAnsi="Arial" w:cs="Arial"/>
          <w:bCs/>
          <w:i/>
          <w:iCs/>
          <w:sz w:val="24"/>
          <w:szCs w:val="24"/>
          <w:lang w:val="de-DE"/>
        </w:rPr>
        <w:t>S</w:t>
      </w:r>
      <w:r w:rsidR="00BE1B53" w:rsidRPr="00BE1B53">
        <w:rPr>
          <w:rFonts w:ascii="Arial" w:hAnsi="Arial" w:cs="Arial" w:hint="cs"/>
          <w:bCs/>
          <w:sz w:val="24"/>
          <w:szCs w:val="24"/>
          <w:lang w:val="de-DE"/>
        </w:rPr>
        <w:t>-</w:t>
      </w:r>
      <w:r w:rsidR="00BE1B53" w:rsidRPr="00BE1B53">
        <w:rPr>
          <w:rFonts w:ascii="Arial" w:hAnsi="Arial" w:cs="Arial"/>
          <w:bCs/>
          <w:sz w:val="24"/>
          <w:szCs w:val="24"/>
          <w:lang w:val="de-DE"/>
        </w:rPr>
        <w:t>dioxide as a pendant TADF unit</w:t>
      </w:r>
      <w:r w:rsidR="00CD0FE8">
        <w:rPr>
          <w:rFonts w:ascii="Arial" w:hAnsi="Arial" w:cs="Arial"/>
          <w:sz w:val="24"/>
          <w:szCs w:val="24"/>
        </w:rPr>
        <w:t xml:space="preserve">, </w:t>
      </w:r>
      <w:r w:rsidR="00583F9A">
        <w:rPr>
          <w:rFonts w:ascii="Arial" w:hAnsi="Arial" w:cs="Arial"/>
          <w:sz w:val="24"/>
          <w:szCs w:val="24"/>
        </w:rPr>
        <w:t>copo1</w:t>
      </w:r>
      <w:r w:rsidR="00CD0FE8">
        <w:rPr>
          <w:rFonts w:ascii="Arial" w:hAnsi="Arial" w:cs="Arial"/>
          <w:sz w:val="24"/>
          <w:szCs w:val="24"/>
        </w:rPr>
        <w:t xml:space="preserve">, </w:t>
      </w:r>
      <w:r w:rsidR="00583F9A">
        <w:rPr>
          <w:rFonts w:ascii="Arial" w:hAnsi="Arial" w:cs="Arial"/>
          <w:sz w:val="24"/>
          <w:szCs w:val="24"/>
        </w:rPr>
        <w:t>copo2</w:t>
      </w:r>
      <w:r w:rsidR="00CD0FE8">
        <w:rPr>
          <w:rFonts w:ascii="Arial" w:hAnsi="Arial" w:cs="Arial"/>
          <w:sz w:val="24"/>
          <w:szCs w:val="24"/>
        </w:rPr>
        <w:t xml:space="preserve">, </w:t>
      </w:r>
      <w:r w:rsidR="00583F9A">
        <w:rPr>
          <w:rFonts w:ascii="Arial" w:hAnsi="Arial" w:cs="Arial"/>
          <w:sz w:val="24"/>
          <w:szCs w:val="24"/>
        </w:rPr>
        <w:t>copo3</w:t>
      </w:r>
      <w:r w:rsidR="00CD0FE8">
        <w:rPr>
          <w:rFonts w:ascii="Arial" w:hAnsi="Arial" w:cs="Arial"/>
          <w:sz w:val="24"/>
          <w:szCs w:val="24"/>
        </w:rPr>
        <w:t xml:space="preserve"> and </w:t>
      </w:r>
      <w:r w:rsidR="00583F9A">
        <w:rPr>
          <w:rFonts w:ascii="Arial" w:hAnsi="Arial" w:cs="Arial"/>
          <w:sz w:val="24"/>
          <w:szCs w:val="24"/>
        </w:rPr>
        <w:t>homopo</w:t>
      </w:r>
      <w:r w:rsidR="00CD0FE8">
        <w:rPr>
          <w:rFonts w:ascii="Arial" w:hAnsi="Arial" w:cs="Arial"/>
          <w:sz w:val="24"/>
          <w:szCs w:val="24"/>
        </w:rPr>
        <w:t>,</w:t>
      </w:r>
      <w:r w:rsidR="00CD0FE8" w:rsidRPr="00CD0FE8">
        <w:rPr>
          <w:rFonts w:ascii="Arial" w:hAnsi="Arial" w:cs="Arial"/>
          <w:sz w:val="24"/>
          <w:szCs w:val="24"/>
        </w:rPr>
        <w:t xml:space="preserve"> have been synthesized and characterized</w:t>
      </w:r>
      <w:r w:rsidR="00F35949">
        <w:rPr>
          <w:rFonts w:ascii="Arial" w:hAnsi="Arial" w:cs="Arial"/>
          <w:sz w:val="24"/>
          <w:szCs w:val="24"/>
        </w:rPr>
        <w:t xml:space="preserve"> successfully</w:t>
      </w:r>
      <w:r w:rsidR="00CD0FE8" w:rsidRPr="00CD0FE8">
        <w:rPr>
          <w:rFonts w:ascii="Arial" w:hAnsi="Arial" w:cs="Arial"/>
          <w:sz w:val="24"/>
          <w:szCs w:val="24"/>
        </w:rPr>
        <w:t>. They exhibit good film forming ability, high</w:t>
      </w:r>
      <w:r w:rsidR="00CD0FE8">
        <w:rPr>
          <w:rFonts w:ascii="Arial" w:hAnsi="Arial" w:cs="Arial" w:hint="eastAsia"/>
          <w:sz w:val="24"/>
          <w:szCs w:val="24"/>
          <w:lang w:eastAsia="zh-CN"/>
        </w:rPr>
        <w:t xml:space="preserve"> </w:t>
      </w:r>
      <w:r w:rsidR="00CD0FE8" w:rsidRPr="00CD0FE8">
        <w:rPr>
          <w:rFonts w:ascii="Arial" w:hAnsi="Arial" w:cs="Arial"/>
          <w:sz w:val="24"/>
          <w:szCs w:val="24"/>
        </w:rPr>
        <w:t xml:space="preserve">thermal decomposition temperatures and suitable glass transition temperatures. </w:t>
      </w:r>
      <w:r w:rsidR="001924EC" w:rsidRPr="001924EC">
        <w:rPr>
          <w:rFonts w:ascii="Arial" w:hAnsi="Arial" w:cs="Arial"/>
          <w:sz w:val="24"/>
          <w:szCs w:val="24"/>
          <w:lang w:val="en-GB"/>
        </w:rPr>
        <w:t>Steady-state and time-resolved fluorescence spectroscopic data</w:t>
      </w:r>
      <w:r w:rsidR="001924EC" w:rsidRPr="001924EC">
        <w:rPr>
          <w:rFonts w:ascii="Arial" w:hAnsi="Arial" w:cs="Arial"/>
          <w:sz w:val="24"/>
          <w:szCs w:val="24"/>
          <w:lang w:val="de-DE"/>
        </w:rPr>
        <w:t xml:space="preserve"> confirm the efficient TADF properties of the polymers</w:t>
      </w:r>
      <w:r w:rsidR="00CD0FE8" w:rsidRPr="00CD0FE8">
        <w:rPr>
          <w:rFonts w:ascii="Arial" w:hAnsi="Arial" w:cs="Arial"/>
          <w:sz w:val="24"/>
          <w:szCs w:val="24"/>
        </w:rPr>
        <w:t xml:space="preserve">. </w:t>
      </w:r>
      <w:r w:rsidR="001924EC" w:rsidRPr="001924EC">
        <w:rPr>
          <w:rFonts w:ascii="Arial" w:hAnsi="Arial" w:cs="Arial"/>
          <w:bCs/>
          <w:sz w:val="24"/>
          <w:szCs w:val="24"/>
          <w:lang w:val="de-DE"/>
        </w:rPr>
        <w:t xml:space="preserve">Styrene, as a co-monomer, is shown to be a good dispersing unit </w:t>
      </w:r>
      <w:r w:rsidR="001924EC" w:rsidRPr="001924EC">
        <w:rPr>
          <w:rFonts w:ascii="Arial" w:hAnsi="Arial" w:cs="Arial"/>
          <w:bCs/>
          <w:sz w:val="24"/>
          <w:szCs w:val="24"/>
          <w:lang w:val="de-DE"/>
        </w:rPr>
        <w:lastRenderedPageBreak/>
        <w:t xml:space="preserve">for the TADF groups, by greatly supressing the </w:t>
      </w:r>
      <w:r w:rsidR="001924EC" w:rsidRPr="001924EC">
        <w:rPr>
          <w:rFonts w:ascii="Arial" w:hAnsi="Arial" w:cs="Arial"/>
          <w:sz w:val="24"/>
          <w:szCs w:val="24"/>
          <w:lang w:val="de-DE"/>
        </w:rPr>
        <w:t>internal conversion and triplet-triplet annihilation</w:t>
      </w:r>
      <w:r w:rsidR="001924EC" w:rsidRPr="001924EC">
        <w:rPr>
          <w:rFonts w:ascii="Arial" w:hAnsi="Arial" w:cs="Arial"/>
          <w:bCs/>
          <w:sz w:val="24"/>
          <w:szCs w:val="24"/>
          <w:lang w:val="de-DE"/>
        </w:rPr>
        <w:t>. Increasing the styrene content within the copolymers results in relatively high triplet energy, small energy splitting between the singlet and triplet states (</w:t>
      </w:r>
      <w:r w:rsidR="001924EC" w:rsidRPr="001924EC">
        <w:rPr>
          <w:rFonts w:ascii="Arial" w:hAnsi="Arial" w:cs="Arial"/>
          <w:bCs/>
          <w:sz w:val="24"/>
          <w:szCs w:val="24"/>
          <w:lang w:val="de-DE"/>
        </w:rPr>
        <w:sym w:font="Symbol" w:char="F044"/>
      </w:r>
      <w:r w:rsidR="001924EC" w:rsidRPr="001924EC">
        <w:rPr>
          <w:rFonts w:ascii="Arial" w:hAnsi="Arial" w:cs="Arial"/>
          <w:bCs/>
          <w:i/>
          <w:sz w:val="24"/>
          <w:szCs w:val="24"/>
          <w:lang w:val="de-DE"/>
        </w:rPr>
        <w:t>E</w:t>
      </w:r>
      <w:r w:rsidR="001924EC" w:rsidRPr="001924EC">
        <w:rPr>
          <w:rFonts w:ascii="Arial" w:hAnsi="Arial" w:cs="Arial"/>
          <w:bCs/>
          <w:sz w:val="24"/>
          <w:szCs w:val="24"/>
          <w:vertAlign w:val="subscript"/>
          <w:lang w:val="de-DE"/>
        </w:rPr>
        <w:t>ST</w:t>
      </w:r>
      <w:r w:rsidR="001924EC" w:rsidRPr="001924EC">
        <w:rPr>
          <w:rFonts w:ascii="Arial" w:hAnsi="Arial" w:cs="Arial"/>
          <w:bCs/>
          <w:sz w:val="24"/>
          <w:szCs w:val="24"/>
          <w:lang w:val="de-DE"/>
        </w:rPr>
        <w:t>) and a strong contribution from delayed fluorescence to the overall emission. Green emitting OLED devices employing</w:t>
      </w:r>
      <w:r w:rsidR="001924EC" w:rsidRPr="001924EC">
        <w:rPr>
          <w:rFonts w:ascii="Arial" w:hAnsi="Arial" w:cs="Arial" w:hint="eastAsia"/>
          <w:bCs/>
          <w:sz w:val="24"/>
          <w:szCs w:val="24"/>
          <w:lang w:val="de-DE"/>
        </w:rPr>
        <w:t xml:space="preserve"> </w:t>
      </w:r>
      <w:r w:rsidR="001924EC" w:rsidRPr="001924EC">
        <w:rPr>
          <w:rFonts w:ascii="Arial" w:hAnsi="Arial" w:cs="Arial"/>
          <w:bCs/>
          <w:sz w:val="24"/>
          <w:szCs w:val="24"/>
          <w:lang w:val="de-DE"/>
        </w:rPr>
        <w:t xml:space="preserve">these polymers as spin-coated emitting layers give high performance, which is dramatically enhanced in the copolymers compared to the homopolymer. Within the series, </w:t>
      </w:r>
      <w:r w:rsidR="001924EC">
        <w:rPr>
          <w:rFonts w:ascii="Arial" w:hAnsi="Arial" w:cs="Arial"/>
          <w:bCs/>
          <w:sz w:val="24"/>
          <w:szCs w:val="24"/>
          <w:lang w:val="de-DE"/>
        </w:rPr>
        <w:t>c</w:t>
      </w:r>
      <w:r w:rsidR="001924EC" w:rsidRPr="001924EC">
        <w:rPr>
          <w:rFonts w:ascii="Arial" w:hAnsi="Arial" w:cs="Arial"/>
          <w:bCs/>
          <w:sz w:val="24"/>
          <w:szCs w:val="24"/>
          <w:lang w:val="de-DE"/>
        </w:rPr>
        <w:t xml:space="preserve">opo1 with a regiorandom ratio of 37% TADF units : 63% styrene units displays the best performance </w:t>
      </w:r>
      <w:r w:rsidR="001924EC" w:rsidRPr="001924EC">
        <w:rPr>
          <w:rFonts w:ascii="Arial" w:hAnsi="Arial" w:cs="Arial"/>
          <w:sz w:val="24"/>
          <w:szCs w:val="24"/>
          <w:lang w:val="de-DE"/>
        </w:rPr>
        <w:t>with a</w:t>
      </w:r>
      <w:r w:rsidR="001924EC" w:rsidRPr="001924EC">
        <w:rPr>
          <w:rFonts w:ascii="Arial" w:hAnsi="Arial" w:cs="Arial" w:hint="eastAsia"/>
          <w:bCs/>
          <w:sz w:val="24"/>
          <w:szCs w:val="24"/>
          <w:lang w:val="de-DE"/>
        </w:rPr>
        <w:t xml:space="preserve"> </w:t>
      </w:r>
      <w:r w:rsidR="001924EC" w:rsidRPr="001924EC">
        <w:rPr>
          <w:rFonts w:ascii="Arial" w:hAnsi="Arial" w:cs="Arial"/>
          <w:sz w:val="24"/>
          <w:szCs w:val="24"/>
          <w:lang w:val="de-DE"/>
        </w:rPr>
        <w:t>maximum external quantum efficiency (EQE) of 20.1% and EQE at 100 cd m</w:t>
      </w:r>
      <w:r w:rsidR="001924EC" w:rsidRPr="001924EC">
        <w:rPr>
          <w:rFonts w:ascii="Arial" w:hAnsi="Arial" w:cs="Arial"/>
          <w:sz w:val="24"/>
          <w:szCs w:val="24"/>
          <w:vertAlign w:val="superscript"/>
          <w:lang w:val="de-DE"/>
        </w:rPr>
        <w:t>-2</w:t>
      </w:r>
      <w:r w:rsidR="001924EC" w:rsidRPr="001924EC">
        <w:rPr>
          <w:rFonts w:ascii="Arial" w:hAnsi="Arial" w:cs="Arial"/>
          <w:sz w:val="24"/>
          <w:szCs w:val="24"/>
          <w:lang w:val="de-DE"/>
        </w:rPr>
        <w:t xml:space="preserve"> of 5.3%</w:t>
      </w:r>
      <w:r w:rsidR="001924EC" w:rsidRPr="001924EC">
        <w:rPr>
          <w:rFonts w:ascii="Arial" w:hAnsi="Arial" w:cs="Arial" w:hint="eastAsia"/>
          <w:sz w:val="24"/>
          <w:szCs w:val="24"/>
          <w:lang w:val="de-DE"/>
        </w:rPr>
        <w:t>.</w:t>
      </w:r>
      <w:r w:rsidR="00CD0FE8" w:rsidRPr="00CD0FE8">
        <w:rPr>
          <w:rFonts w:ascii="Arial" w:hAnsi="Arial" w:cs="Arial"/>
          <w:sz w:val="24"/>
          <w:szCs w:val="24"/>
        </w:rPr>
        <w:t xml:space="preserve"> </w:t>
      </w:r>
    </w:p>
    <w:p w14:paraId="7DAA09C8" w14:textId="3066C21C" w:rsidR="000F2A67" w:rsidRDefault="000F2A67">
      <w:pPr>
        <w:rPr>
          <w:rFonts w:ascii="Arial" w:hAnsi="Arial" w:cs="Arial"/>
        </w:rPr>
      </w:pPr>
    </w:p>
    <w:p w14:paraId="7F462D98" w14:textId="77777777" w:rsidR="00A12DCD" w:rsidRPr="00A12DCD" w:rsidRDefault="00A12DCD" w:rsidP="00A12DCD">
      <w:pPr>
        <w:autoSpaceDE w:val="0"/>
        <w:autoSpaceDN w:val="0"/>
        <w:adjustRightInd w:val="0"/>
        <w:spacing w:after="0" w:line="240" w:lineRule="auto"/>
        <w:jc w:val="both"/>
        <w:rPr>
          <w:rFonts w:ascii="Arial" w:hAnsi="Arial" w:cs="Arial"/>
          <w:b/>
          <w:sz w:val="24"/>
          <w:szCs w:val="24"/>
        </w:rPr>
      </w:pPr>
      <w:r w:rsidRPr="00A12DCD">
        <w:rPr>
          <w:rFonts w:ascii="Arial" w:hAnsi="Arial" w:cs="Arial"/>
          <w:b/>
          <w:sz w:val="24"/>
          <w:szCs w:val="24"/>
        </w:rPr>
        <w:t>Conclusions</w:t>
      </w:r>
    </w:p>
    <w:p w14:paraId="42502ECF" w14:textId="77777777" w:rsidR="00A12DCD" w:rsidRDefault="00A12DCD">
      <w:pPr>
        <w:rPr>
          <w:rFonts w:ascii="Arial" w:hAnsi="Arial" w:cs="Arial"/>
        </w:rPr>
      </w:pPr>
    </w:p>
    <w:p w14:paraId="1014088D" w14:textId="20B5F7A5" w:rsidR="00A12DCD" w:rsidRDefault="00060DE2" w:rsidP="00060DE2">
      <w:pPr>
        <w:autoSpaceDE w:val="0"/>
        <w:autoSpaceDN w:val="0"/>
        <w:adjustRightInd w:val="0"/>
        <w:spacing w:after="0" w:line="240" w:lineRule="auto"/>
        <w:jc w:val="both"/>
        <w:rPr>
          <w:rFonts w:ascii="Arial" w:hAnsi="Arial" w:cs="Arial"/>
        </w:rPr>
      </w:pPr>
      <w:r w:rsidRPr="00060DE2">
        <w:rPr>
          <w:rFonts w:ascii="Arial" w:hAnsi="Arial" w:cs="Arial"/>
          <w:sz w:val="24"/>
          <w:szCs w:val="24"/>
          <w:lang w:val="de-DE"/>
        </w:rPr>
        <w:t xml:space="preserve">In summary, a series of pendant polymers with </w:t>
      </w:r>
      <w:r w:rsidRPr="00060DE2">
        <w:rPr>
          <w:rFonts w:ascii="Arial" w:hAnsi="Arial" w:cs="Arial"/>
          <w:bCs/>
          <w:sz w:val="24"/>
          <w:szCs w:val="24"/>
          <w:lang w:val="de-DE"/>
        </w:rPr>
        <w:t>2-(10</w:t>
      </w:r>
      <w:r w:rsidRPr="00060DE2">
        <w:rPr>
          <w:rFonts w:ascii="Arial" w:hAnsi="Arial" w:cs="Arial"/>
          <w:bCs/>
          <w:i/>
          <w:sz w:val="24"/>
          <w:szCs w:val="24"/>
          <w:lang w:val="de-DE"/>
        </w:rPr>
        <w:t>H</w:t>
      </w:r>
      <w:r w:rsidRPr="00060DE2">
        <w:rPr>
          <w:rFonts w:ascii="Arial" w:hAnsi="Arial" w:cs="Arial"/>
          <w:bCs/>
          <w:sz w:val="24"/>
          <w:szCs w:val="24"/>
          <w:lang w:val="de-DE"/>
        </w:rPr>
        <w:t>-phenothiazin-10-yl) dibenzothiophene</w:t>
      </w:r>
      <w:r w:rsidRPr="00060DE2">
        <w:rPr>
          <w:rFonts w:ascii="Arial" w:hAnsi="Arial" w:cs="Arial" w:hint="cs"/>
          <w:bCs/>
          <w:sz w:val="24"/>
          <w:szCs w:val="24"/>
          <w:lang w:val="de-DE"/>
        </w:rPr>
        <w:t>-</w:t>
      </w:r>
      <w:r w:rsidRPr="00060DE2">
        <w:rPr>
          <w:rFonts w:ascii="Arial" w:hAnsi="Arial" w:cs="Arial"/>
          <w:bCs/>
          <w:i/>
          <w:iCs/>
          <w:sz w:val="24"/>
          <w:szCs w:val="24"/>
          <w:lang w:val="de-DE"/>
        </w:rPr>
        <w:t>S</w:t>
      </w:r>
      <w:r w:rsidRPr="00060DE2">
        <w:rPr>
          <w:rFonts w:ascii="Arial" w:hAnsi="Arial" w:cs="Arial"/>
          <w:bCs/>
          <w:sz w:val="24"/>
          <w:szCs w:val="24"/>
          <w:lang w:val="de-DE"/>
        </w:rPr>
        <w:t>,</w:t>
      </w:r>
      <w:r w:rsidRPr="00060DE2">
        <w:rPr>
          <w:rFonts w:ascii="Arial" w:hAnsi="Arial" w:cs="Arial"/>
          <w:bCs/>
          <w:i/>
          <w:iCs/>
          <w:sz w:val="24"/>
          <w:szCs w:val="24"/>
          <w:lang w:val="de-DE"/>
        </w:rPr>
        <w:t>S</w:t>
      </w:r>
      <w:r w:rsidRPr="00060DE2">
        <w:rPr>
          <w:rFonts w:ascii="Arial" w:hAnsi="Arial" w:cs="Arial" w:hint="cs"/>
          <w:bCs/>
          <w:sz w:val="24"/>
          <w:szCs w:val="24"/>
          <w:lang w:val="de-DE"/>
        </w:rPr>
        <w:t>-</w:t>
      </w:r>
      <w:r w:rsidRPr="00060DE2">
        <w:rPr>
          <w:rFonts w:ascii="Arial" w:hAnsi="Arial" w:cs="Arial"/>
          <w:bCs/>
          <w:sz w:val="24"/>
          <w:szCs w:val="24"/>
          <w:lang w:val="de-DE"/>
        </w:rPr>
        <w:t xml:space="preserve">dioxide as TADF units and </w:t>
      </w:r>
      <w:r w:rsidRPr="00060DE2">
        <w:rPr>
          <w:rFonts w:ascii="Arial" w:hAnsi="Arial" w:cs="Arial" w:hint="eastAsia"/>
          <w:bCs/>
          <w:sz w:val="24"/>
          <w:szCs w:val="24"/>
          <w:lang w:val="de-DE"/>
        </w:rPr>
        <w:t>insulating styrene</w:t>
      </w:r>
      <w:r w:rsidRPr="00060DE2">
        <w:rPr>
          <w:rFonts w:ascii="Arial" w:hAnsi="Arial" w:cs="Arial"/>
          <w:bCs/>
          <w:sz w:val="24"/>
          <w:szCs w:val="24"/>
          <w:lang w:val="de-DE"/>
        </w:rPr>
        <w:t xml:space="preserve"> units as side chains </w:t>
      </w:r>
      <w:r w:rsidRPr="00060DE2">
        <w:rPr>
          <w:rFonts w:ascii="Arial" w:hAnsi="Arial" w:cs="Arial"/>
          <w:sz w:val="24"/>
          <w:szCs w:val="24"/>
          <w:lang w:val="de-DE"/>
        </w:rPr>
        <w:t>have been synthesized and structure/property/OLED performance relationships have been established. Photophysical data confirm that for all the polymers</w:t>
      </w:r>
      <w:r w:rsidRPr="00060DE2">
        <w:rPr>
          <w:rFonts w:ascii="Arial" w:hAnsi="Arial" w:cs="Arial"/>
          <w:sz w:val="24"/>
          <w:szCs w:val="24"/>
          <w:lang w:val="en-GB"/>
        </w:rPr>
        <w:t xml:space="preserve"> </w:t>
      </w:r>
      <w:r w:rsidRPr="00060DE2">
        <w:rPr>
          <w:rFonts w:ascii="Arial" w:hAnsi="Arial" w:cs="Arial"/>
          <w:sz w:val="24"/>
          <w:szCs w:val="24"/>
          <w:lang w:val="de-DE"/>
        </w:rPr>
        <w:t xml:space="preserve">the reverse intersystem crossing mechanism is able to compete with internal conversion and triplet-triplet annihilation. </w:t>
      </w:r>
      <w:r w:rsidRPr="00060DE2">
        <w:rPr>
          <w:rFonts w:ascii="Arial" w:hAnsi="Arial" w:cs="Arial"/>
          <w:bCs/>
          <w:sz w:val="24"/>
          <w:szCs w:val="24"/>
          <w:lang w:val="de-DE"/>
        </w:rPr>
        <w:t>The effect of styrene content on the properties of the TADF properties of the polymers has been evaluated. The triplet energy and the delayed fluorescence contribution increases with increasing styrene content of the copolymers; meanwhile, the energy splitting between the singlet and triplet states (</w:t>
      </w:r>
      <w:r w:rsidRPr="00060DE2">
        <w:rPr>
          <w:rFonts w:ascii="Arial" w:hAnsi="Arial" w:cs="Arial"/>
          <w:bCs/>
          <w:sz w:val="24"/>
          <w:szCs w:val="24"/>
          <w:lang w:val="de-DE"/>
        </w:rPr>
        <w:sym w:font="Symbol" w:char="F044"/>
      </w:r>
      <w:r w:rsidRPr="00060DE2">
        <w:rPr>
          <w:rFonts w:ascii="Arial" w:hAnsi="Arial" w:cs="Arial"/>
          <w:bCs/>
          <w:i/>
          <w:sz w:val="24"/>
          <w:szCs w:val="24"/>
          <w:lang w:val="de-DE"/>
        </w:rPr>
        <w:t>E</w:t>
      </w:r>
      <w:r w:rsidRPr="00060DE2">
        <w:rPr>
          <w:rFonts w:ascii="Arial" w:hAnsi="Arial" w:cs="Arial"/>
          <w:bCs/>
          <w:sz w:val="24"/>
          <w:szCs w:val="24"/>
          <w:vertAlign w:val="subscript"/>
          <w:lang w:val="de-DE"/>
        </w:rPr>
        <w:t>ST</w:t>
      </w:r>
      <w:r w:rsidRPr="00060DE2">
        <w:rPr>
          <w:rFonts w:ascii="Arial" w:hAnsi="Arial" w:cs="Arial"/>
          <w:bCs/>
          <w:sz w:val="24"/>
          <w:szCs w:val="24"/>
          <w:lang w:val="de-DE"/>
        </w:rPr>
        <w:t>) decreases with reducing styrene content of copolymers. OLED devices based</w:t>
      </w:r>
      <w:r w:rsidRPr="00060DE2">
        <w:rPr>
          <w:rFonts w:ascii="Arial" w:hAnsi="Arial" w:cs="Arial" w:hint="eastAsia"/>
          <w:bCs/>
          <w:sz w:val="24"/>
          <w:szCs w:val="24"/>
          <w:lang w:val="de-DE"/>
        </w:rPr>
        <w:t xml:space="preserve"> </w:t>
      </w:r>
      <w:r w:rsidRPr="00060DE2">
        <w:rPr>
          <w:rFonts w:ascii="Arial" w:hAnsi="Arial" w:cs="Arial"/>
          <w:bCs/>
          <w:sz w:val="24"/>
          <w:szCs w:val="24"/>
          <w:lang w:val="de-DE"/>
        </w:rPr>
        <w:t>these polymers as spin-coated emitting layers gave high performance, which is enhanced for the copolymers compared to the homopolymer. The best EL performance was achieved for</w:t>
      </w:r>
      <w:r w:rsidRPr="00060DE2">
        <w:rPr>
          <w:rFonts w:ascii="Arial" w:hAnsi="Arial" w:cs="Arial" w:hint="eastAsia"/>
          <w:bCs/>
          <w:sz w:val="24"/>
          <w:szCs w:val="24"/>
          <w:lang w:val="de-DE"/>
        </w:rPr>
        <w:t xml:space="preserve"> </w:t>
      </w:r>
      <w:r w:rsidRPr="00060DE2">
        <w:rPr>
          <w:rFonts w:ascii="Arial" w:hAnsi="Arial" w:cs="Arial"/>
          <w:bCs/>
          <w:sz w:val="24"/>
          <w:szCs w:val="24"/>
          <w:lang w:val="de-DE"/>
        </w:rPr>
        <w:t>the copo1</w:t>
      </w:r>
      <w:r w:rsidRPr="00060DE2">
        <w:rPr>
          <w:rFonts w:ascii="Arial" w:hAnsi="Arial" w:cs="Arial"/>
          <w:b/>
          <w:bCs/>
          <w:sz w:val="24"/>
          <w:szCs w:val="24"/>
          <w:lang w:val="de-DE"/>
        </w:rPr>
        <w:t>-</w:t>
      </w:r>
      <w:r w:rsidRPr="00060DE2">
        <w:rPr>
          <w:rFonts w:ascii="Arial" w:hAnsi="Arial" w:cs="Arial"/>
          <w:bCs/>
          <w:sz w:val="24"/>
          <w:szCs w:val="24"/>
          <w:lang w:val="de-DE"/>
        </w:rPr>
        <w:t>based device with CE</w:t>
      </w:r>
      <w:r w:rsidRPr="00060DE2">
        <w:rPr>
          <w:rFonts w:ascii="Arial" w:hAnsi="Arial" w:cs="Arial"/>
          <w:bCs/>
          <w:sz w:val="24"/>
          <w:szCs w:val="24"/>
          <w:vertAlign w:val="subscript"/>
          <w:lang w:val="de-DE"/>
        </w:rPr>
        <w:t>max</w:t>
      </w:r>
      <w:r w:rsidRPr="00060DE2">
        <w:rPr>
          <w:rFonts w:ascii="Arial" w:hAnsi="Arial" w:cs="Arial"/>
          <w:bCs/>
          <w:sz w:val="24"/>
          <w:szCs w:val="24"/>
          <w:lang w:val="de-DE"/>
        </w:rPr>
        <w:t xml:space="preserve"> of 61.3 cd/A, PE</w:t>
      </w:r>
      <w:r w:rsidRPr="00060DE2">
        <w:rPr>
          <w:rFonts w:ascii="Arial" w:hAnsi="Arial" w:cs="Arial"/>
          <w:bCs/>
          <w:sz w:val="24"/>
          <w:szCs w:val="24"/>
          <w:vertAlign w:val="subscript"/>
          <w:lang w:val="de-DE"/>
        </w:rPr>
        <w:t>max</w:t>
      </w:r>
      <w:r w:rsidRPr="00060DE2">
        <w:rPr>
          <w:rFonts w:ascii="Arial" w:hAnsi="Arial" w:cs="Arial"/>
          <w:bCs/>
          <w:sz w:val="24"/>
          <w:szCs w:val="24"/>
          <w:lang w:val="de-DE"/>
        </w:rPr>
        <w:t xml:space="preserve"> of 40.1 lm/W, and EQE</w:t>
      </w:r>
      <w:r w:rsidRPr="00060DE2">
        <w:rPr>
          <w:rFonts w:ascii="Arial" w:hAnsi="Arial" w:cs="Arial"/>
          <w:bCs/>
          <w:sz w:val="24"/>
          <w:szCs w:val="24"/>
          <w:vertAlign w:val="subscript"/>
          <w:lang w:val="de-DE"/>
        </w:rPr>
        <w:t>max</w:t>
      </w:r>
      <w:r w:rsidRPr="00060DE2">
        <w:rPr>
          <w:rFonts w:ascii="Arial" w:hAnsi="Arial" w:cs="Arial"/>
          <w:bCs/>
          <w:sz w:val="24"/>
          <w:szCs w:val="24"/>
          <w:lang w:val="de-DE"/>
        </w:rPr>
        <w:t xml:space="preserve"> of 20.1%. To our knowledge this is the highest EQE reported to date for a TADF polymer.</w:t>
      </w:r>
      <w:r w:rsidRPr="00060DE2">
        <w:rPr>
          <w:rFonts w:ascii="Arial" w:hAnsi="Arial" w:cs="Arial"/>
          <w:bCs/>
          <w:sz w:val="24"/>
          <w:szCs w:val="24"/>
          <w:vertAlign w:val="superscript"/>
          <w:lang w:val="de-DE"/>
        </w:rPr>
        <w:t>26-30</w:t>
      </w:r>
      <w:r w:rsidRPr="00060DE2">
        <w:rPr>
          <w:rFonts w:ascii="Arial" w:hAnsi="Arial" w:cs="Arial"/>
          <w:bCs/>
          <w:sz w:val="24"/>
          <w:szCs w:val="24"/>
          <w:lang w:val="de-DE"/>
        </w:rPr>
        <w:t xml:space="preserve"> Furthermore, at 100 cd m</w:t>
      </w:r>
      <w:r w:rsidRPr="00060DE2">
        <w:rPr>
          <w:rFonts w:ascii="Arial" w:hAnsi="Arial" w:cs="Arial"/>
          <w:bCs/>
          <w:sz w:val="24"/>
          <w:szCs w:val="24"/>
          <w:vertAlign w:val="superscript"/>
          <w:lang w:val="de-DE"/>
        </w:rPr>
        <w:t>-2</w:t>
      </w:r>
      <w:r w:rsidRPr="00060DE2">
        <w:rPr>
          <w:rFonts w:ascii="Arial" w:hAnsi="Arial" w:cs="Arial"/>
          <w:bCs/>
          <w:sz w:val="24"/>
          <w:szCs w:val="24"/>
          <w:lang w:val="de-DE"/>
        </w:rPr>
        <w:t xml:space="preserve"> the EQE was 5.3%. High EQE, even at very low luminance, is widely recognized as an important figure-of-merit for OLED efficiencies.</w:t>
      </w:r>
      <w:r w:rsidRPr="00060DE2">
        <w:rPr>
          <w:rFonts w:ascii="Arial" w:hAnsi="Arial" w:cs="Arial"/>
          <w:bCs/>
          <w:sz w:val="24"/>
          <w:szCs w:val="24"/>
          <w:vertAlign w:val="superscript"/>
          <w:lang w:val="de-DE"/>
        </w:rPr>
        <w:t>38</w:t>
      </w:r>
      <w:r w:rsidRPr="00060DE2">
        <w:rPr>
          <w:rFonts w:ascii="Arial" w:hAnsi="Arial" w:cs="Arial"/>
          <w:bCs/>
          <w:sz w:val="24"/>
          <w:szCs w:val="24"/>
          <w:lang w:val="de-DE"/>
        </w:rPr>
        <w:t xml:space="preserve"> The key molecular features we have developed in this work, namely a non-conductive polymer backbone with pendant TADF units separated by non-emissive units, should be versatile for the design of new families of TADF polymers. It remains to be seen if polymers, which have the potential benefits of high thermal stability, good film-forming ability and reduced phase separation, can be widely exploited for color tuning and enhanced TADF-OLED performance.</w:t>
      </w:r>
      <w:r w:rsidRPr="00A12DCD">
        <w:rPr>
          <w:rFonts w:ascii="Arial" w:hAnsi="Arial" w:cs="Arial"/>
        </w:rPr>
        <w:t xml:space="preserve"> </w:t>
      </w:r>
    </w:p>
    <w:p w14:paraId="75724C0D" w14:textId="77777777" w:rsidR="00154B38" w:rsidRPr="00A12DCD" w:rsidRDefault="00154B38" w:rsidP="00060DE2">
      <w:pPr>
        <w:autoSpaceDE w:val="0"/>
        <w:autoSpaceDN w:val="0"/>
        <w:adjustRightInd w:val="0"/>
        <w:spacing w:after="0" w:line="240" w:lineRule="auto"/>
        <w:jc w:val="both"/>
        <w:rPr>
          <w:rFonts w:ascii="Arial" w:hAnsi="Arial" w:cs="Arial"/>
        </w:rPr>
      </w:pPr>
    </w:p>
    <w:p w14:paraId="6B98CE87" w14:textId="77777777" w:rsidR="00A12DCD" w:rsidRPr="00A12DCD" w:rsidRDefault="00A12DCD" w:rsidP="00A12DCD">
      <w:pPr>
        <w:autoSpaceDE w:val="0"/>
        <w:autoSpaceDN w:val="0"/>
        <w:adjustRightInd w:val="0"/>
        <w:spacing w:after="0" w:line="240" w:lineRule="auto"/>
        <w:rPr>
          <w:rFonts w:ascii="Arial" w:hAnsi="Arial" w:cs="Arial"/>
          <w:b/>
          <w:bCs/>
          <w:sz w:val="24"/>
          <w:szCs w:val="24"/>
        </w:rPr>
      </w:pPr>
      <w:r w:rsidRPr="00A12DCD">
        <w:rPr>
          <w:rFonts w:ascii="Arial" w:hAnsi="Arial" w:cs="Arial"/>
          <w:b/>
          <w:bCs/>
          <w:sz w:val="24"/>
          <w:szCs w:val="24"/>
        </w:rPr>
        <w:t>References</w:t>
      </w:r>
      <w:r>
        <w:rPr>
          <w:rFonts w:ascii="Arial" w:hAnsi="Arial" w:cs="Arial"/>
          <w:b/>
          <w:bCs/>
          <w:sz w:val="24"/>
          <w:szCs w:val="24"/>
        </w:rPr>
        <w:br/>
      </w:r>
    </w:p>
    <w:p w14:paraId="603811EB" w14:textId="5523BC2C" w:rsidR="00A12DCD" w:rsidRPr="00A12DCD" w:rsidRDefault="00A12DCD" w:rsidP="00294D97">
      <w:pPr>
        <w:autoSpaceDE w:val="0"/>
        <w:autoSpaceDN w:val="0"/>
        <w:adjustRightInd w:val="0"/>
        <w:spacing w:after="0" w:line="240" w:lineRule="auto"/>
        <w:jc w:val="both"/>
        <w:rPr>
          <w:rFonts w:ascii="Arial" w:hAnsi="Arial" w:cs="Arial"/>
          <w:sz w:val="24"/>
          <w:szCs w:val="24"/>
        </w:rPr>
      </w:pPr>
      <w:r w:rsidRPr="00A12DCD">
        <w:rPr>
          <w:rFonts w:ascii="Arial" w:hAnsi="Arial" w:cs="Arial"/>
          <w:sz w:val="24"/>
          <w:szCs w:val="24"/>
        </w:rPr>
        <w:t xml:space="preserve">[1] </w:t>
      </w:r>
      <w:r w:rsidR="00DE42BA" w:rsidRPr="00DE42BA">
        <w:rPr>
          <w:rFonts w:ascii="Times New Roman" w:eastAsia="宋体" w:hAnsi="Times New Roman" w:cs="Times New Roman"/>
          <w:lang w:val="de-DE" w:eastAsia="zh-CN"/>
        </w:rPr>
        <w:t xml:space="preserve"> </w:t>
      </w:r>
      <w:r w:rsidR="00DE42BA">
        <w:rPr>
          <w:rFonts w:ascii="Arial" w:hAnsi="Arial" w:cs="Arial"/>
          <w:sz w:val="24"/>
          <w:szCs w:val="24"/>
          <w:lang w:val="de-DE"/>
        </w:rPr>
        <w:t xml:space="preserve">Q. </w:t>
      </w:r>
      <w:r w:rsidR="00DE42BA" w:rsidRPr="00DE42BA">
        <w:rPr>
          <w:rFonts w:ascii="Arial" w:hAnsi="Arial" w:cs="Arial"/>
          <w:sz w:val="24"/>
          <w:szCs w:val="24"/>
          <w:lang w:val="de-DE"/>
        </w:rPr>
        <w:t xml:space="preserve">Zhang, </w:t>
      </w:r>
      <w:r w:rsidR="00DE42BA">
        <w:rPr>
          <w:rFonts w:ascii="Arial" w:hAnsi="Arial" w:cs="Arial"/>
          <w:sz w:val="24"/>
          <w:szCs w:val="24"/>
          <w:lang w:val="de-DE"/>
        </w:rPr>
        <w:t xml:space="preserve">J. </w:t>
      </w:r>
      <w:r w:rsidR="00DE42BA" w:rsidRPr="00DE42BA">
        <w:rPr>
          <w:rFonts w:ascii="Arial" w:hAnsi="Arial" w:cs="Arial"/>
          <w:sz w:val="24"/>
          <w:szCs w:val="24"/>
          <w:lang w:val="de-DE"/>
        </w:rPr>
        <w:t xml:space="preserve">Li, </w:t>
      </w:r>
      <w:r w:rsidR="00DE42BA">
        <w:rPr>
          <w:rFonts w:ascii="Arial" w:hAnsi="Arial" w:cs="Arial"/>
          <w:sz w:val="24"/>
          <w:szCs w:val="24"/>
          <w:lang w:val="de-DE"/>
        </w:rPr>
        <w:t xml:space="preserve">K. </w:t>
      </w:r>
      <w:r w:rsidR="00DE42BA" w:rsidRPr="00DE42BA">
        <w:rPr>
          <w:rFonts w:ascii="Arial" w:hAnsi="Arial" w:cs="Arial"/>
          <w:sz w:val="24"/>
          <w:szCs w:val="24"/>
          <w:lang w:val="de-DE"/>
        </w:rPr>
        <w:t xml:space="preserve">Shizu, </w:t>
      </w:r>
      <w:r w:rsidR="00DE42BA">
        <w:rPr>
          <w:rFonts w:ascii="Arial" w:hAnsi="Arial" w:cs="Arial"/>
          <w:sz w:val="24"/>
          <w:szCs w:val="24"/>
          <w:lang w:val="de-DE"/>
        </w:rPr>
        <w:t xml:space="preserve">S. </w:t>
      </w:r>
      <w:r w:rsidR="00DE42BA" w:rsidRPr="00DE42BA">
        <w:rPr>
          <w:rFonts w:ascii="Arial" w:hAnsi="Arial" w:cs="Arial"/>
          <w:sz w:val="24"/>
          <w:szCs w:val="24"/>
          <w:lang w:val="de-DE"/>
        </w:rPr>
        <w:t xml:space="preserve">Huang, </w:t>
      </w:r>
      <w:r w:rsidR="00DE42BA">
        <w:rPr>
          <w:rFonts w:ascii="Arial" w:hAnsi="Arial" w:cs="Arial"/>
          <w:sz w:val="24"/>
          <w:szCs w:val="24"/>
          <w:lang w:val="de-DE"/>
        </w:rPr>
        <w:t xml:space="preserve">S. </w:t>
      </w:r>
      <w:r w:rsidR="00DE42BA" w:rsidRPr="00DE42BA">
        <w:rPr>
          <w:rFonts w:ascii="Arial" w:hAnsi="Arial" w:cs="Arial"/>
          <w:sz w:val="24"/>
          <w:szCs w:val="24"/>
          <w:lang w:val="de-DE"/>
        </w:rPr>
        <w:t xml:space="preserve">Hirata, </w:t>
      </w:r>
      <w:r w:rsidR="00DE42BA">
        <w:rPr>
          <w:rFonts w:ascii="Arial" w:hAnsi="Arial" w:cs="Arial"/>
          <w:sz w:val="24"/>
          <w:szCs w:val="24"/>
          <w:lang w:val="de-DE"/>
        </w:rPr>
        <w:t xml:space="preserve">H. </w:t>
      </w:r>
      <w:r w:rsidR="00DE42BA" w:rsidRPr="00DE42BA">
        <w:rPr>
          <w:rFonts w:ascii="Arial" w:hAnsi="Arial" w:cs="Arial"/>
          <w:sz w:val="24"/>
          <w:szCs w:val="24"/>
          <w:lang w:val="de-DE"/>
        </w:rPr>
        <w:t xml:space="preserve">Miyazaki, </w:t>
      </w:r>
      <w:r w:rsidR="00DE42BA" w:rsidRPr="00DE42BA">
        <w:rPr>
          <w:rFonts w:ascii="Arial" w:hAnsi="Arial" w:cs="Arial"/>
          <w:sz w:val="24"/>
          <w:szCs w:val="24"/>
          <w:lang w:val="de-DE"/>
        </w:rPr>
        <w:t>C.</w:t>
      </w:r>
      <w:r w:rsidR="00DE42BA">
        <w:rPr>
          <w:rFonts w:ascii="Arial" w:hAnsi="Arial" w:cs="Arial"/>
          <w:sz w:val="24"/>
          <w:szCs w:val="24"/>
          <w:lang w:val="de-DE"/>
        </w:rPr>
        <w:t xml:space="preserve"> </w:t>
      </w:r>
      <w:r w:rsidR="00DE42BA" w:rsidRPr="00DE42BA">
        <w:rPr>
          <w:rFonts w:ascii="Arial" w:hAnsi="Arial" w:cs="Arial"/>
          <w:sz w:val="24"/>
          <w:szCs w:val="24"/>
          <w:lang w:val="de-DE"/>
        </w:rPr>
        <w:t xml:space="preserve">Adachi, </w:t>
      </w:r>
      <w:r w:rsidR="00DE42BA" w:rsidRPr="00DE42BA">
        <w:rPr>
          <w:rFonts w:ascii="Arial" w:hAnsi="Arial" w:cs="Arial"/>
          <w:i/>
          <w:sz w:val="24"/>
          <w:szCs w:val="24"/>
          <w:lang w:val="de-DE"/>
        </w:rPr>
        <w:t xml:space="preserve">J. Am. Chem. Soc. </w:t>
      </w:r>
      <w:r w:rsidR="00DE42BA" w:rsidRPr="00DE42BA">
        <w:rPr>
          <w:rFonts w:ascii="Arial" w:hAnsi="Arial" w:cs="Arial"/>
          <w:sz w:val="24"/>
          <w:szCs w:val="24"/>
          <w:lang w:val="de-DE"/>
        </w:rPr>
        <w:t>134, 14706-14709</w:t>
      </w:r>
      <w:r w:rsidR="00DE42BA">
        <w:rPr>
          <w:rFonts w:ascii="Arial" w:hAnsi="Arial" w:cs="Arial"/>
          <w:sz w:val="24"/>
          <w:szCs w:val="24"/>
          <w:lang w:val="de-DE"/>
        </w:rPr>
        <w:t xml:space="preserve">, </w:t>
      </w:r>
      <w:r w:rsidR="00DE42BA" w:rsidRPr="00DE42BA">
        <w:rPr>
          <w:rFonts w:ascii="Arial" w:hAnsi="Arial" w:cs="Arial"/>
          <w:sz w:val="24"/>
          <w:szCs w:val="24"/>
          <w:lang w:val="de-DE"/>
        </w:rPr>
        <w:t>2012.</w:t>
      </w:r>
    </w:p>
    <w:p w14:paraId="62144E65" w14:textId="75D32BF3" w:rsidR="00A12DCD" w:rsidRPr="00A12DCD" w:rsidRDefault="00A12DCD" w:rsidP="00294D97">
      <w:pPr>
        <w:autoSpaceDE w:val="0"/>
        <w:autoSpaceDN w:val="0"/>
        <w:adjustRightInd w:val="0"/>
        <w:spacing w:after="0" w:line="240" w:lineRule="auto"/>
        <w:jc w:val="both"/>
        <w:rPr>
          <w:rFonts w:ascii="Arial" w:hAnsi="Arial" w:cs="Arial"/>
          <w:sz w:val="24"/>
          <w:szCs w:val="24"/>
        </w:rPr>
      </w:pPr>
      <w:r w:rsidRPr="00A12DCD">
        <w:rPr>
          <w:rFonts w:ascii="Arial" w:hAnsi="Arial" w:cs="Arial"/>
          <w:sz w:val="24"/>
          <w:szCs w:val="24"/>
        </w:rPr>
        <w:t xml:space="preserve">[2] </w:t>
      </w:r>
      <w:r w:rsidR="00294D97" w:rsidRPr="00897E35">
        <w:rPr>
          <w:rFonts w:ascii="Arial" w:hAnsi="Arial" w:cs="Arial"/>
          <w:sz w:val="24"/>
          <w:szCs w:val="24"/>
          <w:lang w:val="de-DE"/>
        </w:rPr>
        <w:t>F.</w:t>
      </w:r>
      <w:r w:rsidR="00294D97">
        <w:rPr>
          <w:rFonts w:ascii="Arial" w:hAnsi="Arial" w:cs="Arial"/>
          <w:sz w:val="24"/>
          <w:szCs w:val="24"/>
          <w:lang w:val="de-DE"/>
        </w:rPr>
        <w:t xml:space="preserve"> B. </w:t>
      </w:r>
      <w:r w:rsidR="00897E35" w:rsidRPr="00897E35">
        <w:rPr>
          <w:rFonts w:ascii="Arial" w:hAnsi="Arial" w:cs="Arial"/>
          <w:sz w:val="24"/>
          <w:szCs w:val="24"/>
          <w:lang w:val="de-DE"/>
        </w:rPr>
        <w:t xml:space="preserve">Dias, </w:t>
      </w:r>
      <w:r w:rsidR="00294D97">
        <w:rPr>
          <w:rFonts w:ascii="Arial" w:hAnsi="Arial" w:cs="Arial"/>
          <w:sz w:val="24"/>
          <w:szCs w:val="24"/>
          <w:lang w:val="de-DE"/>
        </w:rPr>
        <w:t xml:space="preserve">K. N. </w:t>
      </w:r>
      <w:r w:rsidR="00897E35" w:rsidRPr="00897E35">
        <w:rPr>
          <w:rFonts w:ascii="Arial" w:hAnsi="Arial" w:cs="Arial"/>
          <w:sz w:val="24"/>
          <w:szCs w:val="24"/>
          <w:lang w:val="de-DE"/>
        </w:rPr>
        <w:t xml:space="preserve">Bourdakos, </w:t>
      </w:r>
      <w:r w:rsidR="00294D97">
        <w:rPr>
          <w:rFonts w:ascii="Arial" w:hAnsi="Arial" w:cs="Arial"/>
          <w:sz w:val="24"/>
          <w:szCs w:val="24"/>
          <w:lang w:val="de-DE"/>
        </w:rPr>
        <w:t>V.</w:t>
      </w:r>
      <w:r w:rsidR="00294D97" w:rsidRPr="00897E35">
        <w:rPr>
          <w:rFonts w:ascii="Arial" w:hAnsi="Arial" w:cs="Arial"/>
          <w:sz w:val="24"/>
          <w:szCs w:val="24"/>
          <w:lang w:val="de-DE"/>
        </w:rPr>
        <w:t xml:space="preserve"> </w:t>
      </w:r>
      <w:r w:rsidR="00897E35" w:rsidRPr="00897E35">
        <w:rPr>
          <w:rFonts w:ascii="Arial" w:hAnsi="Arial" w:cs="Arial"/>
          <w:sz w:val="24"/>
          <w:szCs w:val="24"/>
          <w:lang w:val="de-DE"/>
        </w:rPr>
        <w:t xml:space="preserve">Jankus, </w:t>
      </w:r>
      <w:r w:rsidR="00294D97">
        <w:rPr>
          <w:rFonts w:ascii="Arial" w:hAnsi="Arial" w:cs="Arial"/>
          <w:sz w:val="24"/>
          <w:szCs w:val="24"/>
          <w:lang w:val="de-DE"/>
        </w:rPr>
        <w:t xml:space="preserve">K. C. </w:t>
      </w:r>
      <w:r w:rsidR="00897E35" w:rsidRPr="00897E35">
        <w:rPr>
          <w:rFonts w:ascii="Arial" w:hAnsi="Arial" w:cs="Arial"/>
          <w:sz w:val="24"/>
          <w:szCs w:val="24"/>
          <w:lang w:val="de-DE"/>
        </w:rPr>
        <w:t xml:space="preserve">Moss, </w:t>
      </w:r>
      <w:r w:rsidR="00294D97">
        <w:rPr>
          <w:rFonts w:ascii="Arial" w:hAnsi="Arial" w:cs="Arial"/>
          <w:sz w:val="24"/>
          <w:szCs w:val="24"/>
          <w:lang w:val="de-DE"/>
        </w:rPr>
        <w:t xml:space="preserve">K. T. </w:t>
      </w:r>
      <w:r w:rsidR="00897E35" w:rsidRPr="00897E35">
        <w:rPr>
          <w:rFonts w:ascii="Arial" w:hAnsi="Arial" w:cs="Arial"/>
          <w:sz w:val="24"/>
          <w:szCs w:val="24"/>
          <w:lang w:val="de-DE"/>
        </w:rPr>
        <w:t xml:space="preserve">Kamtekar, </w:t>
      </w:r>
      <w:r w:rsidR="00294D97">
        <w:rPr>
          <w:rFonts w:ascii="Arial" w:hAnsi="Arial" w:cs="Arial"/>
          <w:sz w:val="24"/>
          <w:szCs w:val="24"/>
          <w:lang w:val="de-DE"/>
        </w:rPr>
        <w:t xml:space="preserve">V. </w:t>
      </w:r>
      <w:r w:rsidR="00897E35" w:rsidRPr="00897E35">
        <w:rPr>
          <w:rFonts w:ascii="Arial" w:hAnsi="Arial" w:cs="Arial"/>
          <w:sz w:val="24"/>
          <w:szCs w:val="24"/>
          <w:lang w:val="de-DE"/>
        </w:rPr>
        <w:t xml:space="preserve">Bhalla, </w:t>
      </w:r>
      <w:r w:rsidR="00294D97">
        <w:rPr>
          <w:rFonts w:ascii="Arial" w:hAnsi="Arial" w:cs="Arial"/>
          <w:sz w:val="24"/>
          <w:szCs w:val="24"/>
          <w:lang w:val="de-DE"/>
        </w:rPr>
        <w:t xml:space="preserve">J. </w:t>
      </w:r>
      <w:r w:rsidR="00897E35" w:rsidRPr="00897E35">
        <w:rPr>
          <w:rFonts w:ascii="Arial" w:hAnsi="Arial" w:cs="Arial"/>
          <w:sz w:val="24"/>
          <w:szCs w:val="24"/>
          <w:lang w:val="de-DE"/>
        </w:rPr>
        <w:t xml:space="preserve">Santos, </w:t>
      </w:r>
      <w:r w:rsidR="00294D97">
        <w:rPr>
          <w:rFonts w:ascii="Arial" w:hAnsi="Arial" w:cs="Arial"/>
          <w:sz w:val="24"/>
          <w:szCs w:val="24"/>
          <w:lang w:val="de-DE"/>
        </w:rPr>
        <w:t xml:space="preserve">M. R. </w:t>
      </w:r>
      <w:r w:rsidR="00897E35" w:rsidRPr="00897E35">
        <w:rPr>
          <w:rFonts w:ascii="Arial" w:hAnsi="Arial" w:cs="Arial"/>
          <w:sz w:val="24"/>
          <w:szCs w:val="24"/>
          <w:lang w:val="de-DE"/>
        </w:rPr>
        <w:t xml:space="preserve">Bryce, </w:t>
      </w:r>
      <w:r w:rsidR="00294D97" w:rsidRPr="00897E35">
        <w:rPr>
          <w:rFonts w:ascii="Arial" w:hAnsi="Arial" w:cs="Arial"/>
          <w:sz w:val="24"/>
          <w:szCs w:val="24"/>
          <w:lang w:val="de-DE"/>
        </w:rPr>
        <w:t>A. P.</w:t>
      </w:r>
      <w:r w:rsidR="00294D97">
        <w:rPr>
          <w:rFonts w:ascii="Arial" w:hAnsi="Arial" w:cs="Arial"/>
          <w:sz w:val="24"/>
          <w:szCs w:val="24"/>
          <w:lang w:val="de-DE"/>
        </w:rPr>
        <w:t xml:space="preserve"> </w:t>
      </w:r>
      <w:r w:rsidR="00897E35" w:rsidRPr="00897E35">
        <w:rPr>
          <w:rFonts w:ascii="Arial" w:hAnsi="Arial" w:cs="Arial"/>
          <w:sz w:val="24"/>
          <w:szCs w:val="24"/>
          <w:lang w:val="de-DE"/>
        </w:rPr>
        <w:t xml:space="preserve">Monkman, </w:t>
      </w:r>
      <w:r w:rsidR="00897E35" w:rsidRPr="00897E35">
        <w:rPr>
          <w:rFonts w:ascii="Arial" w:hAnsi="Arial" w:cs="Arial"/>
          <w:i/>
          <w:iCs/>
          <w:sz w:val="24"/>
          <w:szCs w:val="24"/>
          <w:lang w:val="de-DE"/>
        </w:rPr>
        <w:t>Adv. Mater.</w:t>
      </w:r>
      <w:r w:rsidR="00897E35" w:rsidRPr="00897E35">
        <w:rPr>
          <w:rFonts w:ascii="Arial" w:hAnsi="Arial" w:cs="Arial"/>
          <w:i/>
          <w:sz w:val="24"/>
          <w:szCs w:val="24"/>
          <w:lang w:val="de-DE"/>
        </w:rPr>
        <w:t xml:space="preserve"> </w:t>
      </w:r>
      <w:r w:rsidR="00897E35" w:rsidRPr="00294D97">
        <w:rPr>
          <w:rFonts w:ascii="Arial" w:hAnsi="Arial" w:cs="Arial"/>
          <w:sz w:val="24"/>
          <w:szCs w:val="24"/>
          <w:lang w:val="de-DE"/>
        </w:rPr>
        <w:t>25</w:t>
      </w:r>
      <w:r w:rsidR="00897E35" w:rsidRPr="00897E35">
        <w:rPr>
          <w:rFonts w:ascii="Arial" w:hAnsi="Arial" w:cs="Arial"/>
          <w:sz w:val="24"/>
          <w:szCs w:val="24"/>
          <w:lang w:val="de-DE"/>
        </w:rPr>
        <w:t>, 3707-3714</w:t>
      </w:r>
      <w:r w:rsidR="00294D97">
        <w:rPr>
          <w:rFonts w:ascii="Arial" w:hAnsi="Arial" w:cs="Arial"/>
          <w:sz w:val="24"/>
          <w:szCs w:val="24"/>
          <w:lang w:val="de-DE"/>
        </w:rPr>
        <w:t xml:space="preserve">, </w:t>
      </w:r>
      <w:r w:rsidR="00294D97" w:rsidRPr="00294D97">
        <w:rPr>
          <w:rFonts w:ascii="Arial" w:hAnsi="Arial" w:cs="Arial"/>
          <w:sz w:val="24"/>
          <w:szCs w:val="24"/>
          <w:lang w:val="de-DE"/>
        </w:rPr>
        <w:t>2013</w:t>
      </w:r>
      <w:r w:rsidR="00294D97" w:rsidRPr="00294D97">
        <w:rPr>
          <w:rFonts w:ascii="Arial" w:hAnsi="Arial" w:cs="Arial"/>
          <w:sz w:val="24"/>
          <w:szCs w:val="24"/>
          <w:lang w:val="de-DE"/>
        </w:rPr>
        <w:t>.</w:t>
      </w:r>
    </w:p>
    <w:p w14:paraId="4D5A9BA8" w14:textId="7E7B972B" w:rsidR="00A12DCD" w:rsidRDefault="00A12DCD" w:rsidP="00294D97">
      <w:pPr>
        <w:autoSpaceDE w:val="0"/>
        <w:autoSpaceDN w:val="0"/>
        <w:adjustRightInd w:val="0"/>
        <w:spacing w:after="0" w:line="240" w:lineRule="auto"/>
        <w:jc w:val="both"/>
        <w:rPr>
          <w:rFonts w:ascii="Arial" w:hAnsi="Arial" w:cs="Arial"/>
          <w:sz w:val="24"/>
          <w:szCs w:val="24"/>
        </w:rPr>
      </w:pPr>
      <w:r w:rsidRPr="00A12DCD">
        <w:rPr>
          <w:rFonts w:ascii="Arial" w:hAnsi="Arial" w:cs="Arial"/>
          <w:sz w:val="24"/>
          <w:szCs w:val="24"/>
        </w:rPr>
        <w:t>[3]</w:t>
      </w:r>
      <w:r w:rsidR="00897E35" w:rsidRPr="00897E35">
        <w:rPr>
          <w:rFonts w:ascii="Times New Roman" w:eastAsia="宋体" w:hAnsi="Times New Roman" w:cs="Times New Roman"/>
          <w:lang w:val="de-DE" w:eastAsia="zh-CN"/>
        </w:rPr>
        <w:t xml:space="preserve"> </w:t>
      </w:r>
      <w:r w:rsidR="00294D97">
        <w:rPr>
          <w:rFonts w:ascii="Arial" w:hAnsi="Arial" w:cs="Arial"/>
          <w:bCs/>
          <w:sz w:val="24"/>
          <w:szCs w:val="24"/>
          <w:lang w:val="de-DE"/>
        </w:rPr>
        <w:t xml:space="preserve">Y. </w:t>
      </w:r>
      <w:r w:rsidR="00897E35" w:rsidRPr="00897E35">
        <w:rPr>
          <w:rFonts w:ascii="Arial" w:hAnsi="Arial" w:cs="Arial"/>
          <w:bCs/>
          <w:sz w:val="24"/>
          <w:szCs w:val="24"/>
          <w:lang w:val="de-DE"/>
        </w:rPr>
        <w:t xml:space="preserve">Tao, </w:t>
      </w:r>
      <w:r w:rsidR="00294D97">
        <w:rPr>
          <w:rFonts w:ascii="Arial" w:hAnsi="Arial" w:cs="Arial"/>
          <w:bCs/>
          <w:sz w:val="24"/>
          <w:szCs w:val="24"/>
          <w:lang w:val="de-DE"/>
        </w:rPr>
        <w:t xml:space="preserve">K. </w:t>
      </w:r>
      <w:r w:rsidR="00897E35" w:rsidRPr="00897E35">
        <w:rPr>
          <w:rFonts w:ascii="Arial" w:hAnsi="Arial" w:cs="Arial"/>
          <w:bCs/>
          <w:sz w:val="24"/>
          <w:szCs w:val="24"/>
          <w:lang w:val="de-DE"/>
        </w:rPr>
        <w:t xml:space="preserve">Yuan, </w:t>
      </w:r>
      <w:r w:rsidR="00294D97">
        <w:rPr>
          <w:rFonts w:ascii="Arial" w:hAnsi="Arial" w:cs="Arial"/>
          <w:bCs/>
          <w:sz w:val="24"/>
          <w:szCs w:val="24"/>
          <w:lang w:val="de-DE"/>
        </w:rPr>
        <w:t xml:space="preserve">T. </w:t>
      </w:r>
      <w:r w:rsidR="00897E35" w:rsidRPr="00897E35">
        <w:rPr>
          <w:rFonts w:ascii="Arial" w:hAnsi="Arial" w:cs="Arial"/>
          <w:bCs/>
          <w:sz w:val="24"/>
          <w:szCs w:val="24"/>
          <w:lang w:val="de-DE"/>
        </w:rPr>
        <w:t xml:space="preserve">Chen, </w:t>
      </w:r>
      <w:r w:rsidR="00294D97">
        <w:rPr>
          <w:rFonts w:ascii="Arial" w:hAnsi="Arial" w:cs="Arial"/>
          <w:bCs/>
          <w:sz w:val="24"/>
          <w:szCs w:val="24"/>
          <w:lang w:val="de-DE"/>
        </w:rPr>
        <w:t xml:space="preserve">P. </w:t>
      </w:r>
      <w:r w:rsidR="00897E35" w:rsidRPr="00897E35">
        <w:rPr>
          <w:rFonts w:ascii="Arial" w:hAnsi="Arial" w:cs="Arial"/>
          <w:bCs/>
          <w:sz w:val="24"/>
          <w:szCs w:val="24"/>
          <w:lang w:val="de-DE"/>
        </w:rPr>
        <w:t xml:space="preserve">Xu, </w:t>
      </w:r>
      <w:r w:rsidR="00294D97">
        <w:rPr>
          <w:rFonts w:ascii="Arial" w:hAnsi="Arial" w:cs="Arial"/>
          <w:bCs/>
          <w:sz w:val="24"/>
          <w:szCs w:val="24"/>
          <w:lang w:val="de-DE"/>
        </w:rPr>
        <w:t xml:space="preserve">H. </w:t>
      </w:r>
      <w:r w:rsidR="00897E35" w:rsidRPr="00897E35">
        <w:rPr>
          <w:rFonts w:ascii="Arial" w:hAnsi="Arial" w:cs="Arial"/>
          <w:bCs/>
          <w:sz w:val="24"/>
          <w:szCs w:val="24"/>
          <w:lang w:val="de-DE"/>
        </w:rPr>
        <w:t xml:space="preserve">Li, </w:t>
      </w:r>
      <w:r w:rsidR="00294D97">
        <w:rPr>
          <w:rFonts w:ascii="Arial" w:hAnsi="Arial" w:cs="Arial"/>
          <w:bCs/>
          <w:sz w:val="24"/>
          <w:szCs w:val="24"/>
          <w:lang w:val="de-DE"/>
        </w:rPr>
        <w:t>R.</w:t>
      </w:r>
      <w:r w:rsidR="00294D97" w:rsidRPr="00897E35">
        <w:rPr>
          <w:rFonts w:ascii="Arial" w:hAnsi="Arial" w:cs="Arial"/>
          <w:bCs/>
          <w:sz w:val="24"/>
          <w:szCs w:val="24"/>
          <w:lang w:val="de-DE"/>
        </w:rPr>
        <w:t xml:space="preserve"> </w:t>
      </w:r>
      <w:r w:rsidR="00897E35" w:rsidRPr="00897E35">
        <w:rPr>
          <w:rFonts w:ascii="Arial" w:hAnsi="Arial" w:cs="Arial"/>
          <w:bCs/>
          <w:sz w:val="24"/>
          <w:szCs w:val="24"/>
          <w:lang w:val="de-DE"/>
        </w:rPr>
        <w:t xml:space="preserve">Chen, </w:t>
      </w:r>
      <w:r w:rsidR="00294D97">
        <w:rPr>
          <w:rFonts w:ascii="Arial" w:hAnsi="Arial" w:cs="Arial"/>
          <w:bCs/>
          <w:sz w:val="24"/>
          <w:szCs w:val="24"/>
          <w:lang w:val="de-DE"/>
        </w:rPr>
        <w:t xml:space="preserve">C. </w:t>
      </w:r>
      <w:r w:rsidR="00897E35" w:rsidRPr="00897E35">
        <w:rPr>
          <w:rFonts w:ascii="Arial" w:hAnsi="Arial" w:cs="Arial"/>
          <w:bCs/>
          <w:sz w:val="24"/>
          <w:szCs w:val="24"/>
          <w:lang w:val="de-DE"/>
        </w:rPr>
        <w:t xml:space="preserve">Zheng, </w:t>
      </w:r>
      <w:r w:rsidR="00294D97">
        <w:rPr>
          <w:rFonts w:ascii="Arial" w:hAnsi="Arial" w:cs="Arial"/>
          <w:bCs/>
          <w:sz w:val="24"/>
          <w:szCs w:val="24"/>
          <w:lang w:val="de-DE"/>
        </w:rPr>
        <w:t xml:space="preserve">L. </w:t>
      </w:r>
      <w:r w:rsidR="00897E35" w:rsidRPr="00897E35">
        <w:rPr>
          <w:rFonts w:ascii="Arial" w:hAnsi="Arial" w:cs="Arial"/>
          <w:bCs/>
          <w:sz w:val="24"/>
          <w:szCs w:val="24"/>
          <w:lang w:val="de-DE"/>
        </w:rPr>
        <w:t xml:space="preserve">Zhang, </w:t>
      </w:r>
      <w:r w:rsidR="00294D97" w:rsidRPr="00897E35">
        <w:rPr>
          <w:rFonts w:ascii="Arial" w:hAnsi="Arial" w:cs="Arial"/>
          <w:bCs/>
          <w:sz w:val="24"/>
          <w:szCs w:val="24"/>
          <w:lang w:val="de-DE"/>
        </w:rPr>
        <w:t>W.</w:t>
      </w:r>
      <w:r w:rsidR="00294D97">
        <w:rPr>
          <w:rFonts w:ascii="Arial" w:hAnsi="Arial" w:cs="Arial"/>
          <w:bCs/>
          <w:sz w:val="24"/>
          <w:szCs w:val="24"/>
          <w:lang w:val="de-DE"/>
        </w:rPr>
        <w:t xml:space="preserve"> </w:t>
      </w:r>
      <w:r w:rsidR="00897E35" w:rsidRPr="00897E35">
        <w:rPr>
          <w:rFonts w:ascii="Arial" w:hAnsi="Arial" w:cs="Arial"/>
          <w:bCs/>
          <w:sz w:val="24"/>
          <w:szCs w:val="24"/>
          <w:lang w:val="de-DE"/>
        </w:rPr>
        <w:t xml:space="preserve">Huang, </w:t>
      </w:r>
      <w:r w:rsidR="00897E35" w:rsidRPr="00897E35">
        <w:rPr>
          <w:rFonts w:ascii="Arial" w:hAnsi="Arial" w:cs="Arial"/>
          <w:bCs/>
          <w:i/>
          <w:iCs/>
          <w:sz w:val="24"/>
          <w:szCs w:val="24"/>
          <w:lang w:val="de-DE"/>
        </w:rPr>
        <w:t>Adv. Mater.</w:t>
      </w:r>
      <w:r w:rsidR="00897E35" w:rsidRPr="00897E35">
        <w:rPr>
          <w:rFonts w:ascii="Arial" w:hAnsi="Arial" w:cs="Arial"/>
          <w:bCs/>
          <w:i/>
          <w:sz w:val="24"/>
          <w:szCs w:val="24"/>
          <w:lang w:val="de-DE"/>
        </w:rPr>
        <w:t xml:space="preserve"> </w:t>
      </w:r>
      <w:r w:rsidR="00897E35" w:rsidRPr="00294D97">
        <w:rPr>
          <w:rFonts w:ascii="Arial" w:hAnsi="Arial" w:cs="Arial"/>
          <w:bCs/>
          <w:sz w:val="24"/>
          <w:szCs w:val="24"/>
          <w:lang w:val="de-DE"/>
        </w:rPr>
        <w:t>26</w:t>
      </w:r>
      <w:r w:rsidR="00897E35" w:rsidRPr="00897E35">
        <w:rPr>
          <w:rFonts w:ascii="Arial" w:hAnsi="Arial" w:cs="Arial"/>
          <w:bCs/>
          <w:sz w:val="24"/>
          <w:szCs w:val="24"/>
          <w:lang w:val="de-DE"/>
        </w:rPr>
        <w:t>, 7931-7958</w:t>
      </w:r>
      <w:r w:rsidR="00294D97">
        <w:rPr>
          <w:rFonts w:ascii="Arial" w:hAnsi="Arial" w:cs="Arial"/>
          <w:bCs/>
          <w:sz w:val="24"/>
          <w:szCs w:val="24"/>
          <w:lang w:val="de-DE"/>
        </w:rPr>
        <w:t>,</w:t>
      </w:r>
      <w:r w:rsidR="00294D97" w:rsidRPr="00294D97">
        <w:rPr>
          <w:rFonts w:ascii="Arial" w:hAnsi="Arial" w:cs="Arial"/>
          <w:b/>
          <w:bCs/>
          <w:sz w:val="24"/>
          <w:szCs w:val="24"/>
          <w:lang w:val="de-DE"/>
        </w:rPr>
        <w:t xml:space="preserve"> </w:t>
      </w:r>
      <w:r w:rsidR="00294D97" w:rsidRPr="00294D97">
        <w:rPr>
          <w:rFonts w:ascii="Arial" w:hAnsi="Arial" w:cs="Arial"/>
          <w:bCs/>
          <w:sz w:val="24"/>
          <w:szCs w:val="24"/>
          <w:lang w:val="de-DE"/>
        </w:rPr>
        <w:t>2014</w:t>
      </w:r>
      <w:r w:rsidR="00294D97">
        <w:rPr>
          <w:rFonts w:ascii="Arial" w:hAnsi="Arial" w:cs="Arial"/>
          <w:bCs/>
          <w:sz w:val="24"/>
          <w:szCs w:val="24"/>
          <w:lang w:val="de-DE"/>
        </w:rPr>
        <w:t>.</w:t>
      </w:r>
    </w:p>
    <w:p w14:paraId="71DA3099" w14:textId="3CF08826" w:rsidR="008276F1" w:rsidRDefault="008276F1" w:rsidP="00294D9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[4] </w:t>
      </w:r>
      <w:r w:rsidR="00294D97" w:rsidRPr="00897E35">
        <w:rPr>
          <w:rFonts w:ascii="Arial" w:hAnsi="Arial" w:cs="Arial"/>
          <w:sz w:val="24"/>
          <w:szCs w:val="24"/>
          <w:lang w:val="de-DE"/>
        </w:rPr>
        <w:t>R. S.</w:t>
      </w:r>
      <w:r w:rsidR="00294D97">
        <w:rPr>
          <w:rFonts w:ascii="Arial" w:hAnsi="Arial" w:cs="Arial"/>
          <w:sz w:val="24"/>
          <w:szCs w:val="24"/>
          <w:lang w:val="de-DE"/>
        </w:rPr>
        <w:t xml:space="preserve"> </w:t>
      </w:r>
      <w:r w:rsidR="00897E35" w:rsidRPr="00897E35">
        <w:rPr>
          <w:rFonts w:ascii="Arial" w:hAnsi="Arial" w:cs="Arial"/>
          <w:sz w:val="24"/>
          <w:szCs w:val="24"/>
          <w:lang w:val="de-DE"/>
        </w:rPr>
        <w:t xml:space="preserve">Nobuyasu, </w:t>
      </w:r>
      <w:r w:rsidR="00294D97">
        <w:rPr>
          <w:rFonts w:ascii="Arial" w:hAnsi="Arial" w:cs="Arial"/>
          <w:sz w:val="24"/>
          <w:szCs w:val="24"/>
          <w:lang w:val="de-DE"/>
        </w:rPr>
        <w:t xml:space="preserve">Z. </w:t>
      </w:r>
      <w:r w:rsidR="00897E35" w:rsidRPr="00897E35">
        <w:rPr>
          <w:rFonts w:ascii="Arial" w:hAnsi="Arial" w:cs="Arial"/>
          <w:sz w:val="24"/>
          <w:szCs w:val="24"/>
          <w:lang w:val="de-DE"/>
        </w:rPr>
        <w:t xml:space="preserve">Ren, </w:t>
      </w:r>
      <w:r w:rsidR="00294D97">
        <w:rPr>
          <w:rFonts w:ascii="Arial" w:hAnsi="Arial" w:cs="Arial"/>
          <w:sz w:val="24"/>
          <w:szCs w:val="24"/>
          <w:lang w:val="de-DE"/>
        </w:rPr>
        <w:t xml:space="preserve">G. C. </w:t>
      </w:r>
      <w:r w:rsidR="00897E35" w:rsidRPr="00897E35">
        <w:rPr>
          <w:rFonts w:ascii="Arial" w:hAnsi="Arial" w:cs="Arial"/>
          <w:sz w:val="24"/>
          <w:szCs w:val="24"/>
          <w:lang w:val="de-DE"/>
        </w:rPr>
        <w:t xml:space="preserve">Griffiths, </w:t>
      </w:r>
      <w:r w:rsidR="00294D97">
        <w:rPr>
          <w:rFonts w:ascii="Arial" w:hAnsi="Arial" w:cs="Arial"/>
          <w:sz w:val="24"/>
          <w:szCs w:val="24"/>
          <w:lang w:val="de-DE"/>
        </w:rPr>
        <w:t xml:space="preserve">A. S. </w:t>
      </w:r>
      <w:r w:rsidR="00897E35" w:rsidRPr="00897E35">
        <w:rPr>
          <w:rFonts w:ascii="Arial" w:hAnsi="Arial" w:cs="Arial"/>
          <w:sz w:val="24"/>
          <w:szCs w:val="24"/>
          <w:lang w:val="de-DE"/>
        </w:rPr>
        <w:t xml:space="preserve">Batsanov, </w:t>
      </w:r>
      <w:r w:rsidR="00294D97" w:rsidRPr="00897E35">
        <w:rPr>
          <w:rFonts w:ascii="Arial" w:hAnsi="Arial" w:cs="Arial"/>
          <w:sz w:val="24"/>
          <w:szCs w:val="24"/>
          <w:lang w:val="de-DE"/>
        </w:rPr>
        <w:t>P.</w:t>
      </w:r>
      <w:r w:rsidR="00294D97">
        <w:rPr>
          <w:rFonts w:ascii="Arial" w:hAnsi="Arial" w:cs="Arial"/>
          <w:sz w:val="24"/>
          <w:szCs w:val="24"/>
          <w:lang w:val="de-DE"/>
        </w:rPr>
        <w:t xml:space="preserve"> </w:t>
      </w:r>
      <w:r w:rsidR="00897E35" w:rsidRPr="00897E35">
        <w:rPr>
          <w:rFonts w:ascii="Arial" w:hAnsi="Arial" w:cs="Arial"/>
          <w:sz w:val="24"/>
          <w:szCs w:val="24"/>
          <w:lang w:val="de-DE"/>
        </w:rPr>
        <w:t xml:space="preserve">Data, </w:t>
      </w:r>
      <w:r w:rsidR="00294D97">
        <w:rPr>
          <w:rFonts w:ascii="Arial" w:hAnsi="Arial" w:cs="Arial"/>
          <w:sz w:val="24"/>
          <w:szCs w:val="24"/>
          <w:lang w:val="de-DE"/>
        </w:rPr>
        <w:t xml:space="preserve">S. </w:t>
      </w:r>
      <w:r w:rsidR="00897E35" w:rsidRPr="00897E35">
        <w:rPr>
          <w:rFonts w:ascii="Arial" w:hAnsi="Arial" w:cs="Arial"/>
          <w:sz w:val="24"/>
          <w:szCs w:val="24"/>
          <w:lang w:val="de-DE"/>
        </w:rPr>
        <w:t xml:space="preserve">Yan, </w:t>
      </w:r>
      <w:r w:rsidR="00294D97">
        <w:rPr>
          <w:rFonts w:ascii="Arial" w:hAnsi="Arial" w:cs="Arial"/>
          <w:sz w:val="24"/>
          <w:szCs w:val="24"/>
          <w:lang w:val="de-DE"/>
        </w:rPr>
        <w:t xml:space="preserve">A. P. </w:t>
      </w:r>
      <w:r w:rsidR="00897E35" w:rsidRPr="00897E35">
        <w:rPr>
          <w:rFonts w:ascii="Arial" w:hAnsi="Arial" w:cs="Arial"/>
          <w:sz w:val="24"/>
          <w:szCs w:val="24"/>
          <w:lang w:val="de-DE"/>
        </w:rPr>
        <w:t xml:space="preserve">Monkman, </w:t>
      </w:r>
      <w:r w:rsidR="00294D97">
        <w:rPr>
          <w:rFonts w:ascii="Arial" w:hAnsi="Arial" w:cs="Arial"/>
          <w:sz w:val="24"/>
          <w:szCs w:val="24"/>
          <w:lang w:val="de-DE"/>
        </w:rPr>
        <w:t xml:space="preserve">M. R. </w:t>
      </w:r>
      <w:r w:rsidR="00897E35" w:rsidRPr="00897E35">
        <w:rPr>
          <w:rFonts w:ascii="Arial" w:hAnsi="Arial" w:cs="Arial"/>
          <w:sz w:val="24"/>
          <w:szCs w:val="24"/>
          <w:lang w:val="de-DE"/>
        </w:rPr>
        <w:t xml:space="preserve">Bryce, </w:t>
      </w:r>
      <w:r w:rsidR="00294D97" w:rsidRPr="00897E35">
        <w:rPr>
          <w:rFonts w:ascii="Arial" w:hAnsi="Arial" w:cs="Arial"/>
          <w:sz w:val="24"/>
          <w:szCs w:val="24"/>
          <w:lang w:val="de-DE"/>
        </w:rPr>
        <w:t>F. B.</w:t>
      </w:r>
      <w:r w:rsidR="00294D97">
        <w:rPr>
          <w:rFonts w:ascii="Arial" w:hAnsi="Arial" w:cs="Arial"/>
          <w:sz w:val="24"/>
          <w:szCs w:val="24"/>
          <w:lang w:val="de-DE"/>
        </w:rPr>
        <w:t xml:space="preserve"> </w:t>
      </w:r>
      <w:r w:rsidR="00897E35" w:rsidRPr="00897E35">
        <w:rPr>
          <w:rFonts w:ascii="Arial" w:hAnsi="Arial" w:cs="Arial"/>
          <w:sz w:val="24"/>
          <w:szCs w:val="24"/>
          <w:lang w:val="de-DE"/>
        </w:rPr>
        <w:t xml:space="preserve">Dias, </w:t>
      </w:r>
      <w:r w:rsidR="00897E35" w:rsidRPr="00897E35">
        <w:rPr>
          <w:rFonts w:ascii="Arial" w:hAnsi="Arial" w:cs="Arial"/>
          <w:bCs/>
          <w:i/>
          <w:sz w:val="24"/>
          <w:szCs w:val="24"/>
          <w:lang w:val="de-DE"/>
        </w:rPr>
        <w:t>Adv. Opt. Mater.</w:t>
      </w:r>
      <w:r w:rsidR="00897E35" w:rsidRPr="00897E35">
        <w:rPr>
          <w:rFonts w:ascii="Arial" w:hAnsi="Arial" w:cs="Arial"/>
          <w:i/>
          <w:sz w:val="24"/>
          <w:szCs w:val="24"/>
          <w:lang w:val="de-DE"/>
        </w:rPr>
        <w:t xml:space="preserve"> </w:t>
      </w:r>
      <w:r w:rsidR="00897E35" w:rsidRPr="00294D97">
        <w:rPr>
          <w:rFonts w:ascii="Arial" w:hAnsi="Arial" w:cs="Arial"/>
          <w:bCs/>
          <w:sz w:val="24"/>
          <w:szCs w:val="24"/>
          <w:lang w:val="de-DE"/>
        </w:rPr>
        <w:t>4</w:t>
      </w:r>
      <w:r w:rsidR="00897E35" w:rsidRPr="00897E35">
        <w:rPr>
          <w:rFonts w:ascii="Arial" w:hAnsi="Arial" w:cs="Arial"/>
          <w:bCs/>
          <w:sz w:val="24"/>
          <w:szCs w:val="24"/>
          <w:lang w:val="de-DE"/>
        </w:rPr>
        <w:t>, 597-607</w:t>
      </w:r>
      <w:r w:rsidR="00294D97">
        <w:rPr>
          <w:rFonts w:ascii="Arial" w:hAnsi="Arial" w:cs="Arial"/>
          <w:bCs/>
          <w:sz w:val="24"/>
          <w:szCs w:val="24"/>
          <w:lang w:val="de-DE"/>
        </w:rPr>
        <w:t xml:space="preserve">, </w:t>
      </w:r>
      <w:r w:rsidR="00294D97" w:rsidRPr="00294D97">
        <w:rPr>
          <w:rFonts w:ascii="Arial" w:hAnsi="Arial" w:cs="Arial"/>
          <w:bCs/>
          <w:sz w:val="24"/>
          <w:szCs w:val="24"/>
          <w:lang w:val="de-DE"/>
        </w:rPr>
        <w:t>2016</w:t>
      </w:r>
      <w:r w:rsidR="00897E35" w:rsidRPr="00897E35">
        <w:rPr>
          <w:rFonts w:ascii="Arial" w:hAnsi="Arial" w:cs="Arial"/>
          <w:bCs/>
          <w:sz w:val="24"/>
          <w:szCs w:val="24"/>
          <w:lang w:val="de-DE"/>
        </w:rPr>
        <w:t>.</w:t>
      </w:r>
    </w:p>
    <w:p w14:paraId="54F362F4" w14:textId="72A3F357" w:rsidR="008276F1" w:rsidRPr="00A12DCD" w:rsidRDefault="008276F1" w:rsidP="008276F1">
      <w:pPr>
        <w:autoSpaceDE w:val="0"/>
        <w:autoSpaceDN w:val="0"/>
        <w:adjustRightInd w:val="0"/>
        <w:spacing w:after="0" w:line="240" w:lineRule="auto"/>
        <w:rPr>
          <w:rFonts w:ascii="Arial" w:hAnsi="Arial" w:cs="Arial"/>
        </w:rPr>
      </w:pPr>
      <w:bookmarkStart w:id="3" w:name="_GoBack"/>
      <w:bookmarkEnd w:id="3"/>
    </w:p>
    <w:sectPr w:rsidR="008276F1" w:rsidRPr="00A12DCD" w:rsidSect="00694187">
      <w:pgSz w:w="11907" w:h="16839" w:code="9"/>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49B6C5" w14:textId="77777777" w:rsidR="00364573" w:rsidRDefault="00364573" w:rsidP="00A65553">
      <w:pPr>
        <w:spacing w:after="0" w:line="240" w:lineRule="auto"/>
      </w:pPr>
      <w:r>
        <w:separator/>
      </w:r>
    </w:p>
  </w:endnote>
  <w:endnote w:type="continuationSeparator" w:id="0">
    <w:p w14:paraId="4AA1DBE4" w14:textId="77777777" w:rsidR="00364573" w:rsidRDefault="00364573" w:rsidP="00A65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A0E70F" w14:textId="77777777" w:rsidR="00364573" w:rsidRDefault="00364573" w:rsidP="00A65553">
      <w:pPr>
        <w:spacing w:after="0" w:line="240" w:lineRule="auto"/>
      </w:pPr>
      <w:r>
        <w:separator/>
      </w:r>
    </w:p>
  </w:footnote>
  <w:footnote w:type="continuationSeparator" w:id="0">
    <w:p w14:paraId="785D6C42" w14:textId="77777777" w:rsidR="00364573" w:rsidRDefault="00364573" w:rsidP="00A655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8"/>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B92"/>
    <w:rsid w:val="00051B6B"/>
    <w:rsid w:val="00060DE2"/>
    <w:rsid w:val="000F2A67"/>
    <w:rsid w:val="00136FDB"/>
    <w:rsid w:val="00154B38"/>
    <w:rsid w:val="001867EE"/>
    <w:rsid w:val="001924EC"/>
    <w:rsid w:val="001C44E2"/>
    <w:rsid w:val="0024338E"/>
    <w:rsid w:val="00246F60"/>
    <w:rsid w:val="00294D97"/>
    <w:rsid w:val="00364573"/>
    <w:rsid w:val="003B50C2"/>
    <w:rsid w:val="003F7ACF"/>
    <w:rsid w:val="004B4663"/>
    <w:rsid w:val="005015D5"/>
    <w:rsid w:val="00583F9A"/>
    <w:rsid w:val="00694187"/>
    <w:rsid w:val="008276F1"/>
    <w:rsid w:val="00897E35"/>
    <w:rsid w:val="008A29C1"/>
    <w:rsid w:val="008B772F"/>
    <w:rsid w:val="009444AF"/>
    <w:rsid w:val="009C25A2"/>
    <w:rsid w:val="00A12DCD"/>
    <w:rsid w:val="00A32B92"/>
    <w:rsid w:val="00A65553"/>
    <w:rsid w:val="00A70A7D"/>
    <w:rsid w:val="00B54DD6"/>
    <w:rsid w:val="00BE1B53"/>
    <w:rsid w:val="00C238F3"/>
    <w:rsid w:val="00C46E3F"/>
    <w:rsid w:val="00CC1679"/>
    <w:rsid w:val="00CD0FE8"/>
    <w:rsid w:val="00CE3712"/>
    <w:rsid w:val="00CF6A8F"/>
    <w:rsid w:val="00DA1407"/>
    <w:rsid w:val="00DE42BA"/>
    <w:rsid w:val="00E266C6"/>
    <w:rsid w:val="00EE42EB"/>
    <w:rsid w:val="00F10955"/>
    <w:rsid w:val="00F35949"/>
    <w:rsid w:val="00FC2A2A"/>
    <w:rsid w:val="00FE5F16"/>
  </w:rsids>
  <m:mathPr>
    <m:mathFont m:val="Cambria Math"/>
    <m:brkBin m:val="before"/>
    <m:brkBinSub m:val="--"/>
    <m:smallFrac m:val="0"/>
    <m:dispDef/>
    <m:lMargin m:val="0"/>
    <m:rMargin m:val="0"/>
    <m:defJc m:val="centerGroup"/>
    <m:wrapIndent m:val="1440"/>
    <m:intLim m:val="undOvr"/>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0AB0F"/>
  <w15:chartTrackingRefBased/>
  <w15:docId w15:val="{DACAC42A-903E-4051-9C33-DB9B125D7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32B92"/>
    <w:rPr>
      <w:color w:val="808080"/>
    </w:rPr>
  </w:style>
  <w:style w:type="table" w:styleId="a4">
    <w:name w:val="Table Grid"/>
    <w:basedOn w:val="a1"/>
    <w:uiPriority w:val="39"/>
    <w:rsid w:val="000F2A67"/>
    <w:pPr>
      <w:spacing w:after="0" w:line="240" w:lineRule="auto"/>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table" w:styleId="3">
    <w:name w:val="Plain Table 3"/>
    <w:basedOn w:val="a1"/>
    <w:uiPriority w:val="43"/>
    <w:rsid w:val="000F2A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5">
    <w:name w:val="caption"/>
    <w:basedOn w:val="a"/>
    <w:next w:val="a"/>
    <w:uiPriority w:val="35"/>
    <w:unhideWhenUsed/>
    <w:qFormat/>
    <w:rsid w:val="00A12DCD"/>
    <w:pPr>
      <w:spacing w:after="200" w:line="240" w:lineRule="auto"/>
    </w:pPr>
    <w:rPr>
      <w:i/>
      <w:iCs/>
      <w:color w:val="000000" w:themeColor="text2"/>
      <w:sz w:val="18"/>
      <w:szCs w:val="18"/>
    </w:rPr>
  </w:style>
  <w:style w:type="paragraph" w:styleId="a6">
    <w:name w:val="Body Text"/>
    <w:basedOn w:val="a"/>
    <w:link w:val="Char"/>
    <w:uiPriority w:val="99"/>
    <w:semiHidden/>
    <w:unhideWhenUsed/>
    <w:rsid w:val="00051B6B"/>
  </w:style>
  <w:style w:type="character" w:customStyle="1" w:styleId="Char">
    <w:name w:val="正文文本 Char"/>
    <w:basedOn w:val="a0"/>
    <w:link w:val="a6"/>
    <w:uiPriority w:val="99"/>
    <w:semiHidden/>
    <w:rsid w:val="00051B6B"/>
  </w:style>
  <w:style w:type="paragraph" w:styleId="a7">
    <w:name w:val="header"/>
    <w:basedOn w:val="a"/>
    <w:link w:val="Char0"/>
    <w:uiPriority w:val="99"/>
    <w:unhideWhenUsed/>
    <w:rsid w:val="00A65553"/>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0">
    <w:name w:val="页眉 Char"/>
    <w:basedOn w:val="a0"/>
    <w:link w:val="a7"/>
    <w:uiPriority w:val="99"/>
    <w:rsid w:val="00A65553"/>
    <w:rPr>
      <w:sz w:val="18"/>
      <w:szCs w:val="18"/>
    </w:rPr>
  </w:style>
  <w:style w:type="paragraph" w:styleId="a8">
    <w:name w:val="footer"/>
    <w:basedOn w:val="a"/>
    <w:link w:val="Char1"/>
    <w:uiPriority w:val="99"/>
    <w:unhideWhenUsed/>
    <w:rsid w:val="00A65553"/>
    <w:pPr>
      <w:tabs>
        <w:tab w:val="center" w:pos="4153"/>
        <w:tab w:val="right" w:pos="8306"/>
      </w:tabs>
      <w:snapToGrid w:val="0"/>
      <w:spacing w:line="240" w:lineRule="auto"/>
    </w:pPr>
    <w:rPr>
      <w:sz w:val="18"/>
      <w:szCs w:val="18"/>
    </w:rPr>
  </w:style>
  <w:style w:type="character" w:customStyle="1" w:styleId="Char1">
    <w:name w:val="页脚 Char"/>
    <w:basedOn w:val="a0"/>
    <w:link w:val="a8"/>
    <w:uiPriority w:val="99"/>
    <w:rsid w:val="00A65553"/>
    <w:rPr>
      <w:sz w:val="18"/>
      <w:szCs w:val="18"/>
    </w:rPr>
  </w:style>
  <w:style w:type="paragraph" w:styleId="a9">
    <w:name w:val="Normal (Web)"/>
    <w:basedOn w:val="a"/>
    <w:uiPriority w:val="99"/>
    <w:semiHidden/>
    <w:unhideWhenUsed/>
    <w:rsid w:val="009C25A2"/>
    <w:pPr>
      <w:spacing w:before="100" w:beforeAutospacing="1" w:after="100" w:afterAutospacing="1" w:line="240" w:lineRule="auto"/>
    </w:pPr>
    <w:rPr>
      <w:rFonts w:ascii="宋体" w:eastAsia="宋体" w:hAnsi="宋体" w:cs="宋体"/>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Mukautettu 1">
      <a:dk1>
        <a:sysClr val="windowText" lastClr="000000"/>
      </a:dk1>
      <a:lt1>
        <a:sysClr val="window" lastClr="FFFFFF"/>
      </a:lt1>
      <a:dk2>
        <a:srgbClr val="000000"/>
      </a:dk2>
      <a:lt2>
        <a:srgbClr val="E7E6E6"/>
      </a:lt2>
      <a:accent1>
        <a:srgbClr val="5B9BD5"/>
      </a:accent1>
      <a:accent2>
        <a:srgbClr val="ED7D31"/>
      </a:accent2>
      <a:accent3>
        <a:srgbClr val="000000"/>
      </a:accent3>
      <a:accent4>
        <a:srgbClr val="FFC000"/>
      </a:accent4>
      <a:accent5>
        <a:srgbClr val="4472C4"/>
      </a:accent5>
      <a:accent6>
        <a:srgbClr val="70AD47"/>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2</Pages>
  <Words>828</Words>
  <Characters>4724</Characters>
  <Application>Microsoft Office Word</Application>
  <DocSecurity>0</DocSecurity>
  <Lines>39</Lines>
  <Paragraphs>11</Paragraphs>
  <ScaleCrop>false</ScaleCrop>
  <HeadingPairs>
    <vt:vector size="2" baseType="variant">
      <vt:variant>
        <vt:lpstr>Otsikko</vt:lpstr>
      </vt:variant>
      <vt:variant>
        <vt:i4>1</vt:i4>
      </vt:variant>
    </vt:vector>
  </HeadingPairs>
  <TitlesOfParts>
    <vt:vector size="1" baseType="lpstr">
      <vt:lpstr/>
    </vt:vector>
  </TitlesOfParts>
  <Company>University of Eastern Finland</Company>
  <LinksUpToDate>false</LinksUpToDate>
  <CharactersWithSpaces>5541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 Tervo</dc:creator>
  <cp:keywords/>
  <dc:description/>
  <cp:lastModifiedBy>Lenovo</cp:lastModifiedBy>
  <cp:revision>35</cp:revision>
  <cp:lastPrinted>2014-01-09T15:24:00Z</cp:lastPrinted>
  <dcterms:created xsi:type="dcterms:W3CDTF">2017-01-16T03:02:00Z</dcterms:created>
  <dcterms:modified xsi:type="dcterms:W3CDTF">2017-01-17T06:19:00Z</dcterms:modified>
</cp:coreProperties>
</file>