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83D" w:rsidRPr="000F583D" w:rsidRDefault="00B22205" w:rsidP="009B0EB4">
      <w:pPr>
        <w:pStyle w:val="1"/>
        <w:keepNext w:val="0"/>
        <w:keepLines w:val="0"/>
        <w:widowControl w:val="0"/>
        <w:spacing w:before="170" w:after="0" w:line="400" w:lineRule="exact"/>
        <w:rPr>
          <w:lang w:eastAsia="en-US"/>
        </w:rPr>
      </w:pPr>
      <w:r w:rsidRPr="000F583D">
        <w:rPr>
          <w:rFonts w:ascii="Minion Pro" w:eastAsia="Minion Pro" w:hAnsi="Minion Pro" w:cs="Minion Pro"/>
          <w:color w:val="337AB7"/>
          <w:kern w:val="0"/>
          <w:szCs w:val="36"/>
          <w:lang w:eastAsia="en-US"/>
        </w:rPr>
        <w:t xml:space="preserve">Loading capacity </w:t>
      </w:r>
      <w:bookmarkStart w:id="0" w:name="OLE_LINK106"/>
      <w:r w:rsidRPr="000F583D">
        <w:rPr>
          <w:rFonts w:ascii="Minion Pro" w:eastAsia="Minion Pro" w:hAnsi="Minion Pro" w:cs="Minion Pro"/>
          <w:color w:val="337AB7"/>
          <w:kern w:val="0"/>
          <w:szCs w:val="36"/>
          <w:lang w:eastAsia="en-US"/>
        </w:rPr>
        <w:t xml:space="preserve">of </w:t>
      </w:r>
      <w:bookmarkStart w:id="1" w:name="OLE_LINK6"/>
      <w:bookmarkStart w:id="2" w:name="OLE_LINK5"/>
      <w:r w:rsidRPr="000F583D">
        <w:rPr>
          <w:rFonts w:ascii="Minion Pro" w:eastAsia="Minion Pro" w:hAnsi="Minion Pro" w:cs="Minion Pro"/>
          <w:color w:val="337AB7"/>
          <w:kern w:val="0"/>
          <w:szCs w:val="36"/>
          <w:lang w:eastAsia="en-US"/>
        </w:rPr>
        <w:t>sewage sludge</w:t>
      </w:r>
      <w:bookmarkStart w:id="3" w:name="OLE_LINK50"/>
      <w:bookmarkStart w:id="4" w:name="OLE_LINK92"/>
      <w:r w:rsidRPr="000F583D">
        <w:rPr>
          <w:rFonts w:ascii="Minion Pro" w:eastAsia="Minion Pro" w:hAnsi="Minion Pro" w:cs="Minion Pro"/>
          <w:color w:val="337AB7"/>
          <w:kern w:val="0"/>
          <w:szCs w:val="36"/>
          <w:lang w:eastAsia="en-US"/>
        </w:rPr>
        <w:t xml:space="preserve"> for </w:t>
      </w:r>
      <w:bookmarkStart w:id="5" w:name="OLE_LINK9"/>
      <w:r w:rsidRPr="000F583D">
        <w:rPr>
          <w:rFonts w:ascii="Minion Pro" w:eastAsia="Minion Pro" w:hAnsi="Minion Pro" w:cs="Minion Pro"/>
          <w:color w:val="337AB7"/>
          <w:kern w:val="0"/>
          <w:szCs w:val="36"/>
          <w:lang w:eastAsia="en-US"/>
        </w:rPr>
        <w:t>forestry application</w:t>
      </w:r>
      <w:bookmarkStart w:id="6" w:name="OLE_LINK14"/>
      <w:bookmarkStart w:id="7" w:name="OLE_LINK13"/>
      <w:bookmarkStart w:id="8" w:name="OLE_LINK37"/>
      <w:bookmarkStart w:id="9" w:name="OLE_LINK30"/>
      <w:bookmarkEnd w:id="1"/>
      <w:bookmarkEnd w:id="2"/>
      <w:bookmarkEnd w:id="5"/>
    </w:p>
    <w:p w:rsidR="00F03290" w:rsidRPr="00AA0CD9" w:rsidRDefault="00B22205" w:rsidP="00F03290">
      <w:pPr>
        <w:spacing w:line="240" w:lineRule="atLeast"/>
        <w:ind w:firstLine="424"/>
        <w:jc w:val="both"/>
        <w:rPr>
          <w:rFonts w:ascii="Times New Roman" w:hAnsi="Times New Roman" w:cs="Times New Roman"/>
        </w:rPr>
      </w:pPr>
      <w:r w:rsidRPr="000F583D">
        <w:rPr>
          <w:rFonts w:ascii="Times New Roman" w:hAnsi="Times New Roman" w:cs="Times New Roman"/>
        </w:rPr>
        <w:t xml:space="preserve"> </w:t>
      </w:r>
      <w:bookmarkEnd w:id="0"/>
      <w:bookmarkEnd w:id="3"/>
      <w:bookmarkEnd w:id="4"/>
      <w:bookmarkEnd w:id="6"/>
      <w:bookmarkEnd w:id="7"/>
      <w:bookmarkEnd w:id="8"/>
      <w:bookmarkEnd w:id="9"/>
      <w:proofErr w:type="spellStart"/>
      <w:r w:rsidR="000F583D" w:rsidRPr="00AA0CD9">
        <w:rPr>
          <w:rFonts w:ascii="Times New Roman" w:hAnsi="Times New Roman" w:cs="Times New Roman"/>
        </w:rPr>
        <w:t>X</w:t>
      </w:r>
      <w:r w:rsidR="000F583D" w:rsidRPr="00AA0CD9">
        <w:rPr>
          <w:rFonts w:ascii="Times New Roman" w:hAnsi="Times New Roman" w:cs="Times New Roman" w:hint="eastAsia"/>
        </w:rPr>
        <w:t>iaoxia</w:t>
      </w:r>
      <w:proofErr w:type="spellEnd"/>
      <w:r w:rsidR="000F583D" w:rsidRPr="00AA0CD9">
        <w:rPr>
          <w:rFonts w:ascii="Times New Roman" w:hAnsi="Times New Roman" w:cs="Times New Roman"/>
        </w:rPr>
        <w:t xml:space="preserve"> </w:t>
      </w:r>
      <w:r w:rsidR="000F583D" w:rsidRPr="00AA0CD9">
        <w:rPr>
          <w:rFonts w:ascii="Times New Roman" w:hAnsi="Times New Roman" w:cs="Times New Roman" w:hint="eastAsia"/>
        </w:rPr>
        <w:t>Zhang</w:t>
      </w:r>
      <w:r w:rsidR="000F583D" w:rsidRPr="00AA0CD9">
        <w:rPr>
          <w:rFonts w:ascii="Times New Roman" w:hAnsi="Times New Roman" w:cs="Times New Roman"/>
        </w:rPr>
        <w:t>,</w:t>
      </w:r>
      <w:r w:rsidR="000F583D" w:rsidRPr="00AA0CD9">
        <w:rPr>
          <w:rFonts w:ascii="Times New Roman" w:hAnsi="Times New Roman" w:cs="Times New Roman"/>
          <w:b/>
        </w:rPr>
        <w:t xml:space="preserve"> </w:t>
      </w:r>
      <w:r w:rsidR="00F03290" w:rsidRPr="00AA0CD9">
        <w:rPr>
          <w:rFonts w:ascii="Times New Roman" w:hAnsi="Times New Roman" w:cs="Times New Roman"/>
        </w:rPr>
        <w:t>Beijing Forestry University, Beijing 100083, China;</w:t>
      </w:r>
    </w:p>
    <w:p w:rsidR="008F7408" w:rsidRDefault="008F7408" w:rsidP="00F03290">
      <w:pPr>
        <w:spacing w:line="240" w:lineRule="atLeast"/>
        <w:ind w:firstLine="424"/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</w:pPr>
    </w:p>
    <w:p w:rsidR="00AA0CD9" w:rsidRDefault="00AA0CD9" w:rsidP="00F03290">
      <w:pPr>
        <w:spacing w:line="240" w:lineRule="atLeast"/>
        <w:ind w:firstLine="424"/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sectPr w:rsidR="00AA0CD9" w:rsidSect="00752C35">
          <w:type w:val="continuous"/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:rsidR="009A73EF" w:rsidRPr="00752C35" w:rsidRDefault="00127C4D" w:rsidP="00F03290">
      <w:pPr>
        <w:spacing w:line="240" w:lineRule="atLeast"/>
        <w:ind w:firstLine="424"/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</w:pPr>
      <w:r w:rsidRPr="00752C35"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t>Abstract</w:t>
      </w:r>
    </w:p>
    <w:p w:rsidR="00743965" w:rsidRPr="00EC6F6A" w:rsidRDefault="00743965" w:rsidP="00AA0CD9">
      <w:pPr>
        <w:widowControl w:val="0"/>
        <w:spacing w:before="90" w:line="281" w:lineRule="auto"/>
        <w:ind w:left="102" w:firstLineChars="250" w:firstLine="450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The application of sewage sludge</w:t>
      </w:r>
      <w:r w:rsidR="003D74D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(SS)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in forestry is considered a viable option. However, the long-term application potentially leads to metal accumulation, posing an environmental risk. Understanding the loading capacity </w:t>
      </w:r>
      <w:r w:rsidR="00303DBA" w:rsidRPr="00EC6F6A">
        <w:rPr>
          <w:rFonts w:ascii="Tw Cen MT" w:eastAsia="Tw Cen MT" w:hAnsi="Tw Cen MT" w:cs="Tw Cen MT"/>
          <w:sz w:val="18"/>
          <w:szCs w:val="18"/>
          <w:lang w:eastAsia="en-US"/>
        </w:rPr>
        <w:t>(</w:t>
      </w:r>
      <w:r w:rsidR="000D01A3" w:rsidRPr="00EC6F6A">
        <w:rPr>
          <w:rFonts w:ascii="Tw Cen MT" w:eastAsia="Tw Cen MT" w:hAnsi="Tw Cen MT" w:cs="Tw Cen MT"/>
          <w:sz w:val="18"/>
          <w:szCs w:val="18"/>
          <w:lang w:eastAsia="en-US"/>
        </w:rPr>
        <w:t>LC</w:t>
      </w:r>
      <w:r w:rsidR="00303DBA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) 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of SS for forestry application is of great significance.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This work describes the spatial distribution of </w:t>
      </w:r>
      <w:r w:rsidR="00EB016C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eight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metal environmental quality, and potential ecological risks using ArcGIS</w:t>
      </w:r>
      <w:r w:rsidR="00CD3283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,</w:t>
      </w:r>
      <w:r w:rsidR="00CD3283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CD3283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and</w:t>
      </w:r>
      <w:r w:rsidR="00CD3283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F14427" w:rsidRPr="00EC6F6A">
        <w:rPr>
          <w:rFonts w:ascii="Tw Cen MT" w:eastAsia="Tw Cen MT" w:hAnsi="Tw Cen MT" w:cs="Tw Cen MT"/>
          <w:sz w:val="18"/>
          <w:szCs w:val="18"/>
          <w:lang w:eastAsia="en-US"/>
        </w:rPr>
        <w:t>calculate</w:t>
      </w:r>
      <w:r w:rsidR="00CD3283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s</w:t>
      </w:r>
      <w:r w:rsidR="00F14427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the </w:t>
      </w:r>
      <w:r w:rsidR="00303DBA" w:rsidRPr="00EC6F6A">
        <w:rPr>
          <w:rFonts w:ascii="Tw Cen MT" w:eastAsia="Tw Cen MT" w:hAnsi="Tw Cen MT" w:cs="Tw Cen MT"/>
          <w:sz w:val="18"/>
          <w:szCs w:val="18"/>
          <w:lang w:eastAsia="en-US"/>
        </w:rPr>
        <w:t>LC</w:t>
      </w:r>
      <w:r w:rsidR="00303DBA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in </w:t>
      </w:r>
      <w:r w:rsidR="00F14427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each </w:t>
      </w:r>
      <w:r w:rsidR="00D602A2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Chinese provincial capital cities </w:t>
      </w:r>
      <w:r w:rsidR="00D602A2" w:rsidRPr="00EC6F6A">
        <w:rPr>
          <w:rFonts w:ascii="Tw Cen MT" w:eastAsia="Tw Cen MT" w:hAnsi="Tw Cen MT" w:cs="Tw Cen MT"/>
          <w:sz w:val="18"/>
          <w:szCs w:val="18"/>
          <w:lang w:eastAsia="en-US"/>
        </w:rPr>
        <w:t>(</w:t>
      </w:r>
      <w:proofErr w:type="spellStart"/>
      <w:r w:rsidR="00F14427" w:rsidRPr="00EC6F6A">
        <w:rPr>
          <w:rFonts w:ascii="Tw Cen MT" w:eastAsia="Tw Cen MT" w:hAnsi="Tw Cen MT" w:cs="Tw Cen MT"/>
          <w:sz w:val="18"/>
          <w:szCs w:val="18"/>
          <w:lang w:eastAsia="en-US"/>
        </w:rPr>
        <w:t>PCC</w:t>
      </w:r>
      <w:r w:rsidR="00D602A2" w:rsidRPr="00EC6F6A">
        <w:rPr>
          <w:rFonts w:ascii="Tw Cen MT" w:eastAsia="Tw Cen MT" w:hAnsi="Tw Cen MT" w:cs="Tw Cen MT"/>
          <w:sz w:val="18"/>
          <w:szCs w:val="18"/>
          <w:lang w:eastAsia="en-US"/>
        </w:rPr>
        <w:t>s</w:t>
      </w:r>
      <w:proofErr w:type="spellEnd"/>
      <w:r w:rsidR="00D602A2" w:rsidRPr="00EC6F6A">
        <w:rPr>
          <w:rFonts w:ascii="Tw Cen MT" w:eastAsia="Tw Cen MT" w:hAnsi="Tw Cen MT" w:cs="Tw Cen MT"/>
          <w:sz w:val="18"/>
          <w:szCs w:val="18"/>
          <w:lang w:eastAsia="en-US"/>
        </w:rPr>
        <w:t>)</w:t>
      </w:r>
      <w:r w:rsidR="00CD3283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.</w:t>
      </w:r>
      <w:r w:rsidR="00CD3283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The data were </w:t>
      </w:r>
      <w:r w:rsidR="00CD3283" w:rsidRPr="00EC6F6A">
        <w:rPr>
          <w:rFonts w:ascii="Tw Cen MT" w:eastAsia="Tw Cen MT" w:hAnsi="Tw Cen MT" w:cs="Tw Cen MT"/>
          <w:sz w:val="18"/>
          <w:szCs w:val="18"/>
          <w:lang w:eastAsia="en-US"/>
        </w:rPr>
        <w:t>collected</w:t>
      </w:r>
      <w:r w:rsidR="00CD3283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 xml:space="preserve">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bas</w:t>
      </w:r>
      <w:r w:rsidR="00CD3283" w:rsidRPr="00EC6F6A">
        <w:rPr>
          <w:rFonts w:ascii="Tw Cen MT" w:eastAsia="Tw Cen MT" w:hAnsi="Tw Cen MT" w:cs="Tw Cen MT"/>
          <w:sz w:val="18"/>
          <w:szCs w:val="18"/>
          <w:lang w:eastAsia="en-US"/>
        </w:rPr>
        <w:t>ing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on published literatures 2005-2017. </w:t>
      </w:r>
      <w:r w:rsidR="001B50A0" w:rsidRPr="00EC6F6A">
        <w:rPr>
          <w:rFonts w:ascii="Tw Cen MT" w:eastAsia="Tw Cen MT" w:hAnsi="Tw Cen MT" w:cs="Tw Cen MT"/>
          <w:sz w:val="18"/>
          <w:szCs w:val="18"/>
          <w:lang w:eastAsia="en-US"/>
        </w:rPr>
        <w:t>The results were as follows:</w:t>
      </w:r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(</w:t>
      </w:r>
      <w:r w:rsidR="000D01A3" w:rsidRPr="00EC6F6A">
        <w:rPr>
          <w:rFonts w:ascii="Tw Cen MT" w:eastAsia="Tw Cen MT" w:hAnsi="Tw Cen MT" w:cs="Tw Cen MT"/>
          <w:sz w:val="18"/>
          <w:szCs w:val="18"/>
          <w:lang w:eastAsia="en-US"/>
        </w:rPr>
        <w:t>1</w:t>
      </w:r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) Cd, Hg, Cu, </w:t>
      </w:r>
      <w:proofErr w:type="spellStart"/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>Pb</w:t>
      </w:r>
      <w:proofErr w:type="spellEnd"/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, and Zn were chosen as priority control metals; </w:t>
      </w:r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9 </w:t>
      </w:r>
      <w:proofErr w:type="spellStart"/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(</w:t>
      </w:r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Beijing, Chengdu, Tianjin, Changsha, Shijiazhuang, Shenyang, </w:t>
      </w:r>
      <w:proofErr w:type="spellStart"/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>Ji'nan</w:t>
      </w:r>
      <w:proofErr w:type="spellEnd"/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>, Changchun, and Xi'an</w:t>
      </w:r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) </w:t>
      </w:r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were chosen as priority control </w:t>
      </w:r>
      <w:proofErr w:type="spellStart"/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2F2C5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according to the metal </w:t>
      </w:r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>concentrations in soil.</w:t>
      </w:r>
      <w:r w:rsidR="001B50A0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bookmarkStart w:id="10" w:name="OLE_LINK2"/>
      <w:r w:rsidR="001B50A0" w:rsidRPr="00EC6F6A">
        <w:rPr>
          <w:rFonts w:ascii="Tw Cen MT" w:eastAsia="Tw Cen MT" w:hAnsi="Tw Cen MT" w:cs="Tw Cen MT"/>
          <w:sz w:val="18"/>
          <w:szCs w:val="18"/>
          <w:lang w:eastAsia="en-US"/>
        </w:rPr>
        <w:t>(</w:t>
      </w:r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>2</w:t>
      </w:r>
      <w:r w:rsidR="001B50A0" w:rsidRPr="00EC6F6A">
        <w:rPr>
          <w:rFonts w:ascii="Tw Cen MT" w:eastAsia="Tw Cen MT" w:hAnsi="Tw Cen MT" w:cs="Tw Cen MT"/>
          <w:sz w:val="18"/>
          <w:szCs w:val="18"/>
          <w:lang w:eastAsia="en-US"/>
        </w:rPr>
        <w:t>)</w:t>
      </w:r>
      <w:bookmarkEnd w:id="10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A clear southeast/northwest boundary marked the urban soil metal pattern, which was aligned with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the famous demographic, geological, and economic boundary known as the “Hu-line.” </w:t>
      </w:r>
      <w:r w:rsidR="00512753" w:rsidRPr="00EC6F6A">
        <w:rPr>
          <w:rFonts w:ascii="Tw Cen MT" w:eastAsia="Tw Cen MT" w:hAnsi="Tw Cen MT" w:cs="Tw Cen MT"/>
          <w:sz w:val="18"/>
          <w:szCs w:val="18"/>
          <w:lang w:eastAsia="en-US"/>
        </w:rPr>
        <w:t>(</w:t>
      </w:r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>3</w:t>
      </w:r>
      <w:r w:rsidR="00512753" w:rsidRPr="00EC6F6A">
        <w:rPr>
          <w:rFonts w:ascii="Tw Cen MT" w:eastAsia="Tw Cen MT" w:hAnsi="Tw Cen MT" w:cs="Tw Cen MT"/>
          <w:sz w:val="18"/>
          <w:szCs w:val="18"/>
          <w:lang w:eastAsia="en-US"/>
        </w:rPr>
        <w:t>) Cd was the priority control metal</w:t>
      </w:r>
      <w:r w:rsidR="00306A32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512753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in most of the </w:t>
      </w:r>
      <w:proofErr w:type="spellStart"/>
      <w:r w:rsidR="00512753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512753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(27/31), except Cu in Shanghai and Guangzhou, Hg in Beijing and Zn in Tianjin</w:t>
      </w:r>
      <w:r w:rsidR="008134FF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5B635C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w</w:t>
      </w:r>
      <w:r w:rsidR="005B635C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hen </w:t>
      </w:r>
      <w:r w:rsidR="005B635C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SS</w:t>
      </w:r>
      <w:r w:rsidR="005B635C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is applied to forestry</w:t>
      </w:r>
      <w:bookmarkStart w:id="11" w:name="OLE_LINK1"/>
      <w:bookmarkStart w:id="12" w:name="OLE_LINK4"/>
      <w:r w:rsidR="005B635C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.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(</w:t>
      </w:r>
      <w:r w:rsidR="005B635C" w:rsidRPr="00EC6F6A">
        <w:rPr>
          <w:rFonts w:ascii="Tw Cen MT" w:eastAsia="Tw Cen MT" w:hAnsi="Tw Cen MT" w:cs="Tw Cen MT"/>
          <w:sz w:val="18"/>
          <w:szCs w:val="18"/>
          <w:lang w:eastAsia="en-US"/>
        </w:rPr>
        <w:t>4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) The mean value of the priority control threshold was 32.67 t/ha/y in 31 </w:t>
      </w:r>
      <w:proofErr w:type="spellStart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, while the range of variations were from 7.12 t/ha/y to 91.35 t/ha/y among different </w:t>
      </w:r>
      <w:proofErr w:type="spellStart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. (</w:t>
      </w:r>
      <w:r w:rsidR="005B635C" w:rsidRPr="00EC6F6A">
        <w:rPr>
          <w:rFonts w:ascii="Tw Cen MT" w:eastAsia="Tw Cen MT" w:hAnsi="Tw Cen MT" w:cs="Tw Cen MT"/>
          <w:sz w:val="18"/>
          <w:szCs w:val="18"/>
          <w:lang w:eastAsia="en-US"/>
        </w:rPr>
        <w:t>5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) The total loading capacity was 507.41 million t/y, which was 125 times higher than the total quantity of the dry SS (404.40 × 104 t) for the 31 </w:t>
      </w:r>
      <w:proofErr w:type="spellStart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. Our results </w:t>
      </w:r>
      <w:r w:rsidR="00757E3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provide basic information that can assist to avoid further degradation of soil by preventing and monitoring metal contamination in </w:t>
      </w:r>
      <w:proofErr w:type="spellStart"/>
      <w:r w:rsidR="00757E3B" w:rsidRPr="00EC6F6A">
        <w:rPr>
          <w:rFonts w:ascii="Tw Cen MT" w:eastAsia="Tw Cen MT" w:hAnsi="Tw Cen MT" w:cs="Tw Cen MT"/>
          <w:sz w:val="18"/>
          <w:szCs w:val="18"/>
          <w:lang w:eastAsia="en-US"/>
        </w:rPr>
        <w:t>PCCs</w:t>
      </w:r>
      <w:proofErr w:type="spellEnd"/>
      <w:r w:rsidR="00757E3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, and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suggest that SS disposal policies need to be tailored to specific regions and provide a scientific basis</w:t>
      </w:r>
      <w:r w:rsidR="005B635C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,</w:t>
      </w:r>
      <w:r w:rsidR="005B635C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127C4D" w:rsidRPr="00EC6F6A">
        <w:rPr>
          <w:rFonts w:ascii="Tw Cen MT" w:eastAsia="Tw Cen MT" w:hAnsi="Tw Cen MT" w:cs="Tw Cen MT"/>
          <w:sz w:val="18"/>
          <w:szCs w:val="18"/>
          <w:lang w:eastAsia="en-US"/>
        </w:rPr>
        <w:t>which have guiding value for the development of national and provincial forestry policies.</w:t>
      </w:r>
      <w:bookmarkEnd w:id="11"/>
      <w:bookmarkEnd w:id="12"/>
    </w:p>
    <w:p w:rsidR="008F7408" w:rsidRDefault="008F7408" w:rsidP="00752C35">
      <w:pPr>
        <w:spacing w:line="281" w:lineRule="auto"/>
        <w:ind w:firstLine="424"/>
        <w:jc w:val="both"/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sectPr w:rsidR="008F7408" w:rsidSect="008F7408">
          <w:type w:val="continuous"/>
          <w:pgSz w:w="11900" w:h="16840"/>
          <w:pgMar w:top="1440" w:right="1800" w:bottom="1440" w:left="1800" w:header="851" w:footer="992" w:gutter="0"/>
          <w:cols w:num="2" w:space="425"/>
          <w:docGrid w:type="lines" w:linePitch="423"/>
        </w:sectPr>
      </w:pPr>
    </w:p>
    <w:p w:rsidR="008F7408" w:rsidRDefault="008F7408" w:rsidP="00752C35">
      <w:pPr>
        <w:spacing w:line="281" w:lineRule="auto"/>
        <w:ind w:firstLine="424"/>
        <w:jc w:val="both"/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</w:pPr>
      <w:r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br w:type="page"/>
      </w:r>
    </w:p>
    <w:p w:rsidR="008F7408" w:rsidRDefault="008F7408" w:rsidP="00752C35">
      <w:pPr>
        <w:spacing w:line="281" w:lineRule="auto"/>
        <w:ind w:firstLine="424"/>
        <w:jc w:val="both"/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sectPr w:rsidR="008F7408" w:rsidSect="00752C35">
          <w:type w:val="continuous"/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:rsidR="009A73EF" w:rsidRPr="00752C35" w:rsidRDefault="009A73EF" w:rsidP="00752C35">
      <w:pPr>
        <w:spacing w:line="281" w:lineRule="auto"/>
        <w:ind w:firstLine="424"/>
        <w:jc w:val="both"/>
        <w:rPr>
          <w:rFonts w:ascii="Tw Cen MT" w:eastAsia="Tw Cen MT" w:hAnsi="Tw Cen MT" w:cs="Tw Cen MT" w:hint="eastAsia"/>
          <w:b/>
          <w:color w:val="C45911" w:themeColor="accent2" w:themeShade="BF"/>
          <w:sz w:val="18"/>
          <w:szCs w:val="18"/>
          <w:lang w:eastAsia="en-US"/>
        </w:rPr>
      </w:pPr>
      <w:r w:rsidRPr="00752C35">
        <w:rPr>
          <w:rFonts w:ascii="Tw Cen MT" w:eastAsia="Tw Cen MT" w:hAnsi="Tw Cen MT" w:cs="Tw Cen MT" w:hint="eastAsia"/>
          <w:b/>
          <w:color w:val="C45911" w:themeColor="accent2" w:themeShade="BF"/>
          <w:sz w:val="18"/>
          <w:szCs w:val="18"/>
          <w:lang w:eastAsia="en-US"/>
        </w:rPr>
        <w:lastRenderedPageBreak/>
        <w:t>I</w:t>
      </w:r>
      <w:r w:rsidRPr="00752C35"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t>m</w:t>
      </w:r>
      <w:r w:rsidRPr="00752C35">
        <w:rPr>
          <w:rFonts w:ascii="Tw Cen MT" w:eastAsia="Tw Cen MT" w:hAnsi="Tw Cen MT" w:cs="Tw Cen MT" w:hint="eastAsia"/>
          <w:b/>
          <w:color w:val="C45911" w:themeColor="accent2" w:themeShade="BF"/>
          <w:sz w:val="18"/>
          <w:szCs w:val="18"/>
          <w:lang w:eastAsia="en-US"/>
        </w:rPr>
        <w:t>age</w:t>
      </w:r>
    </w:p>
    <w:p w:rsidR="009A73EF" w:rsidRPr="00EC6F6A" w:rsidRDefault="009A73EF" w:rsidP="00EC6F6A">
      <w:pPr>
        <w:spacing w:line="281" w:lineRule="auto"/>
        <w:jc w:val="both"/>
        <w:outlineLvl w:val="0"/>
        <w:rPr>
          <w:rFonts w:ascii="Tw Cen MT" w:eastAsia="Tw Cen MT" w:hAnsi="Tw Cen MT" w:cs="Tw Cen MT" w:hint="eastAsia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drawing>
          <wp:inline distT="0" distB="0" distL="0" distR="0" wp14:anchorId="757D9E90" wp14:editId="6F38EF20">
            <wp:extent cx="2525005" cy="1886327"/>
            <wp:effectExtent l="12700" t="12700" r="1524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641570201621_.pic_h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651" cy="19069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F2A9D" w:rsidRPr="00EC6F6A" w:rsidRDefault="009A73EF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Figure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1 </w:t>
      </w:r>
      <w:r w:rsidR="00397247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The priority control metal and loading capacity in 31 Chinese </w:t>
      </w:r>
      <w:r w:rsidR="00397247" w:rsidRPr="00EC6F6A">
        <w:rPr>
          <w:rFonts w:ascii="Tw Cen MT" w:eastAsia="Tw Cen MT" w:hAnsi="Tw Cen MT" w:cs="Tw Cen MT"/>
          <w:sz w:val="18"/>
          <w:szCs w:val="18"/>
          <w:lang w:eastAsia="en-US"/>
        </w:rPr>
        <w:t>provincial capital citie</w:t>
      </w:r>
      <w:r w:rsidR="00397247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s </w:t>
      </w:r>
    </w:p>
    <w:p w:rsidR="000D08E1" w:rsidRPr="00752C35" w:rsidRDefault="00397247" w:rsidP="00EC6F6A">
      <w:pPr>
        <w:spacing w:line="281" w:lineRule="auto"/>
        <w:ind w:firstLine="424"/>
        <w:jc w:val="both"/>
        <w:rPr>
          <w:rFonts w:ascii="Tw Cen MT" w:eastAsia="Tw Cen MT" w:hAnsi="Tw Cen MT" w:cs="Tw Cen MT" w:hint="eastAsia"/>
          <w:b/>
          <w:color w:val="C45911" w:themeColor="accent2" w:themeShade="BF"/>
          <w:sz w:val="18"/>
          <w:szCs w:val="18"/>
          <w:lang w:eastAsia="en-US"/>
        </w:rPr>
      </w:pPr>
      <w:r w:rsidRPr="00752C35">
        <w:rPr>
          <w:rFonts w:ascii="Tw Cen MT" w:eastAsia="Tw Cen MT" w:hAnsi="Tw Cen MT" w:cs="Tw Cen MT"/>
          <w:b/>
          <w:color w:val="C45911" w:themeColor="accent2" w:themeShade="BF"/>
          <w:sz w:val="18"/>
          <w:szCs w:val="18"/>
          <w:lang w:eastAsia="en-US"/>
        </w:rPr>
        <w:t>Recent Publications</w:t>
      </w:r>
    </w:p>
    <w:p w:rsidR="00397247" w:rsidRPr="00EC6F6A" w:rsidRDefault="000D08E1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Zhang XX.,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Zhe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TG., Guo XP., </w:t>
      </w:r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>et al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(2018). </w:t>
      </w:r>
      <w:r w:rsidR="00397247" w:rsidRPr="00EC6F6A">
        <w:rPr>
          <w:rFonts w:ascii="Tw Cen MT" w:eastAsia="Tw Cen MT" w:hAnsi="Tw Cen MT" w:cs="Tw Cen MT"/>
          <w:sz w:val="18"/>
          <w:szCs w:val="18"/>
          <w:lang w:eastAsia="en-US"/>
        </w:rPr>
        <w:t>Spatial distribution of metal pollution of soils of Chinese provincial capital cities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. 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Science of the Total Environment</w:t>
      </w:r>
      <w:r w:rsidR="00397247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643 (2018) 1502–1513, </w:t>
      </w:r>
    </w:p>
    <w:p w:rsidR="000D08E1" w:rsidRPr="00EC6F6A" w:rsidRDefault="000D08E1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Zhang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XX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.,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Zha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TG., </w:t>
      </w:r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>Zhao Y., et al. (2017</w:t>
      </w:r>
      <w:r w:rsidR="00656E36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).</w:t>
      </w:r>
      <w:r w:rsidR="00EE72CF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Sustainable Effects of Small Hydropower Substituting Firewood Program in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Majiang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County, Guizhou Province, China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>.</w:t>
      </w:r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Sustainability,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9, 988; </w:t>
      </w:r>
      <w:proofErr w:type="spellStart"/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>doi:10.3390</w:t>
      </w:r>
      <w:proofErr w:type="spellEnd"/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>/</w:t>
      </w:r>
      <w:proofErr w:type="spellStart"/>
      <w:r w:rsidR="00656E36" w:rsidRPr="00EC6F6A">
        <w:rPr>
          <w:rFonts w:ascii="Tw Cen MT" w:eastAsia="Tw Cen MT" w:hAnsi="Tw Cen MT" w:cs="Tw Cen MT"/>
          <w:sz w:val="18"/>
          <w:szCs w:val="18"/>
          <w:lang w:eastAsia="en-US"/>
        </w:rPr>
        <w:t>su9060988</w:t>
      </w:r>
      <w:proofErr w:type="spellEnd"/>
      <w:r w:rsidR="00656E36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.</w:t>
      </w:r>
    </w:p>
    <w:p w:rsidR="00EE72CF" w:rsidRPr="00EC6F6A" w:rsidRDefault="00EE72CF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Zhang XX.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,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Yang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ZR.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,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Zha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TG.,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 xml:space="preserve"> 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et al. (2017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)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. Changes in the physical properties of soil in forestlands after 22 years under the influence of the Conversion of Cropland into Farmland Project in Loess region, Western Shanxi Province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.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Acta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Ecologica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Sinica</w:t>
      </w:r>
      <w:proofErr w:type="spellEnd"/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,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37</w:t>
      </w:r>
      <w:r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(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2):416-424.</w:t>
      </w:r>
    </w:p>
    <w:p w:rsidR="006904C9" w:rsidRDefault="0033125D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Yu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HY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., </w:t>
      </w:r>
      <w:proofErr w:type="spellStart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Zha</w:t>
      </w:r>
      <w:proofErr w:type="spellEnd"/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TG., Zhang XX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., 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>et al. (201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>9</w:t>
      </w:r>
      <w:r w:rsidR="00CB620B" w:rsidRPr="00EC6F6A">
        <w:rPr>
          <w:rFonts w:ascii="Tw Cen MT" w:eastAsia="Tw Cen MT" w:hAnsi="Tw Cen MT" w:cs="Tw Cen MT" w:hint="eastAsia"/>
          <w:sz w:val="18"/>
          <w:szCs w:val="18"/>
          <w:lang w:eastAsia="en-US"/>
        </w:rPr>
        <w:t>)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>.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 </w:t>
      </w:r>
      <w:r w:rsidRPr="00EC6F6A">
        <w:rPr>
          <w:rFonts w:ascii="Tw Cen MT" w:eastAsia="Tw Cen MT" w:hAnsi="Tw Cen MT" w:cs="Tw Cen MT"/>
          <w:sz w:val="18"/>
          <w:szCs w:val="18"/>
          <w:lang w:eastAsia="en-US"/>
        </w:rPr>
        <w:t>Vertical distribution and inﬂuencing factors of soil organic carbon in the Loess Plateau, China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. 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>Science of the Total Environment</w:t>
      </w:r>
      <w:r w:rsidR="00CB620B" w:rsidRPr="00EC6F6A">
        <w:rPr>
          <w:rFonts w:ascii="Tw Cen MT" w:eastAsia="Tw Cen MT" w:hAnsi="Tw Cen MT" w:cs="Tw Cen MT"/>
          <w:sz w:val="18"/>
          <w:szCs w:val="18"/>
          <w:lang w:eastAsia="en-US"/>
        </w:rPr>
        <w:t xml:space="preserve">, 693, 133632. </w:t>
      </w:r>
    </w:p>
    <w:p w:rsidR="00711F2C" w:rsidRDefault="00711F2C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  <w:sectPr w:rsidR="00711F2C" w:rsidSect="00711F2C">
          <w:type w:val="continuous"/>
          <w:pgSz w:w="11900" w:h="16840"/>
          <w:pgMar w:top="1440" w:right="1800" w:bottom="1440" w:left="1800" w:header="851" w:footer="992" w:gutter="0"/>
          <w:cols w:num="2" w:space="425"/>
          <w:docGrid w:type="lines" w:linePitch="423"/>
        </w:sectPr>
      </w:pPr>
    </w:p>
    <w:p w:rsidR="00AA0CD9" w:rsidRDefault="00AA0CD9" w:rsidP="00EC6F6A">
      <w:pPr>
        <w:spacing w:line="281" w:lineRule="auto"/>
        <w:ind w:firstLine="424"/>
        <w:jc w:val="both"/>
        <w:rPr>
          <w:rFonts w:ascii="Tw Cen MT" w:eastAsia="Tw Cen MT" w:hAnsi="Tw Cen MT" w:cs="Tw Cen MT"/>
          <w:sz w:val="18"/>
          <w:szCs w:val="18"/>
          <w:lang w:eastAsia="en-US"/>
        </w:rPr>
      </w:pPr>
      <w:bookmarkStart w:id="13" w:name="_GoBack"/>
      <w:bookmarkEnd w:id="13"/>
    </w:p>
    <w:p w:rsidR="00AA0CD9" w:rsidRDefault="00AA0CD9" w:rsidP="00AA0CD9">
      <w:pPr>
        <w:spacing w:before="92"/>
        <w:ind w:right="4234"/>
        <w:rPr>
          <w:rFonts w:ascii="Arial"/>
        </w:rPr>
      </w:pPr>
      <w:r>
        <w:rPr>
          <w:noProof/>
          <w:lang w:val="en-IN" w:eastAsia="en-IN"/>
        </w:rPr>
        <w:drawing>
          <wp:inline distT="0" distB="0" distL="0" distR="0" wp14:anchorId="5DB4B087" wp14:editId="77E51B9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:rsidR="00AA0CD9" w:rsidRDefault="00850BDE" w:rsidP="00711F2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 w:hint="eastAsia"/>
          <w:sz w:val="14"/>
        </w:rPr>
        <w:t>Xiaoxia</w:t>
      </w:r>
      <w:proofErr w:type="spellEnd"/>
      <w:r>
        <w:rPr>
          <w:rFonts w:ascii="Arial"/>
          <w:sz w:val="14"/>
        </w:rPr>
        <w:t xml:space="preserve"> </w:t>
      </w:r>
      <w:r>
        <w:rPr>
          <w:rFonts w:ascii="Arial" w:hint="eastAsia"/>
          <w:sz w:val="14"/>
        </w:rPr>
        <w:t>Zhang</w:t>
      </w:r>
      <w:r>
        <w:rPr>
          <w:rFonts w:ascii="Arial"/>
          <w:sz w:val="14"/>
        </w:rPr>
        <w:t xml:space="preserve"> </w:t>
      </w:r>
      <w:r w:rsidR="00AA0CD9">
        <w:rPr>
          <w:rFonts w:ascii="Arial"/>
          <w:sz w:val="14"/>
        </w:rPr>
        <w:t xml:space="preserve">has her expertise in </w:t>
      </w:r>
      <w:r w:rsidR="004D5D3B">
        <w:rPr>
          <w:rFonts w:ascii="Arial" w:hint="eastAsia"/>
          <w:sz w:val="14"/>
        </w:rPr>
        <w:t>s</w:t>
      </w:r>
      <w:r w:rsidR="004D5D3B" w:rsidRPr="004D5D3B">
        <w:rPr>
          <w:rFonts w:ascii="Arial"/>
          <w:sz w:val="14"/>
        </w:rPr>
        <w:t>oil degradation and ecological restoration</w:t>
      </w:r>
      <w:r w:rsidR="004D5D3B">
        <w:rPr>
          <w:rFonts w:ascii="Arial" w:hint="eastAsia"/>
          <w:sz w:val="14"/>
        </w:rPr>
        <w:t>.</w:t>
      </w:r>
      <w:r w:rsidR="004D5D3B">
        <w:rPr>
          <w:rFonts w:ascii="Arial"/>
          <w:sz w:val="14"/>
        </w:rPr>
        <w:t xml:space="preserve"> </w:t>
      </w:r>
      <w:r w:rsidR="00711F2C">
        <w:rPr>
          <w:rFonts w:ascii="Arial" w:hint="eastAsia"/>
          <w:sz w:val="14"/>
        </w:rPr>
        <w:t>Sh</w:t>
      </w:r>
      <w:r w:rsidR="00711F2C" w:rsidRPr="00711F2C">
        <w:rPr>
          <w:rFonts w:ascii="Arial"/>
          <w:sz w:val="14"/>
        </w:rPr>
        <w:t>e has a deep research on the evaluation of soil environment and the utilization of sludge resources in China, which is of great significance to China's environmental policy-making.</w:t>
      </w:r>
    </w:p>
    <w:p w:rsidR="00A82B62" w:rsidRPr="00EC6F6A" w:rsidRDefault="00AA0CD9" w:rsidP="00EC6F6A">
      <w:pPr>
        <w:spacing w:line="281" w:lineRule="auto"/>
        <w:ind w:firstLine="424"/>
        <w:jc w:val="both"/>
        <w:rPr>
          <w:rFonts w:ascii="Tw Cen MT" w:eastAsia="Tw Cen MT" w:hAnsi="Tw Cen MT" w:cs="Tw Cen MT" w:hint="eastAsia"/>
          <w:sz w:val="18"/>
          <w:szCs w:val="18"/>
          <w:lang w:eastAsia="en-US"/>
        </w:rPr>
      </w:pPr>
      <w:r>
        <w:rPr>
          <w:rFonts w:ascii="Arial" w:hint="eastAsia"/>
          <w:sz w:val="14"/>
        </w:rPr>
        <w:t>Email</w:t>
      </w:r>
      <w:r>
        <w:rPr>
          <w:rFonts w:ascii="Arial" w:hint="eastAsia"/>
          <w:sz w:val="14"/>
        </w:rPr>
        <w:t>：</w:t>
      </w:r>
      <w:r w:rsidR="00711F2C">
        <w:rPr>
          <w:rFonts w:ascii="Arial" w:hint="eastAsia"/>
          <w:sz w:val="14"/>
        </w:rPr>
        <w:t>zhangxx</w:t>
      </w:r>
      <w:r w:rsidR="00711F2C">
        <w:rPr>
          <w:rFonts w:ascii="Arial"/>
          <w:sz w:val="14"/>
        </w:rPr>
        <w:t>0708@</w:t>
      </w:r>
      <w:r w:rsidR="00711F2C">
        <w:rPr>
          <w:rFonts w:ascii="Arial" w:hint="eastAsia"/>
          <w:sz w:val="14"/>
        </w:rPr>
        <w:t>bjfu</w:t>
      </w:r>
      <w:r w:rsidR="00711F2C">
        <w:rPr>
          <w:rFonts w:ascii="Arial"/>
          <w:sz w:val="14"/>
        </w:rPr>
        <w:t>.edu.cn</w:t>
      </w:r>
    </w:p>
    <w:sectPr w:rsidR="00A82B62" w:rsidRPr="00EC6F6A" w:rsidSect="00752C35">
      <w:type w:val="continuous"/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583" w:rsidRDefault="00927583" w:rsidP="00B22205">
      <w:r>
        <w:separator/>
      </w:r>
    </w:p>
  </w:endnote>
  <w:endnote w:type="continuationSeparator" w:id="0">
    <w:p w:rsidR="00927583" w:rsidRDefault="00927583" w:rsidP="00B22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583" w:rsidRDefault="00927583" w:rsidP="00B22205">
      <w:r>
        <w:separator/>
      </w:r>
    </w:p>
  </w:footnote>
  <w:footnote w:type="continuationSeparator" w:id="0">
    <w:p w:rsidR="00927583" w:rsidRDefault="00927583" w:rsidP="00B22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C4D"/>
    <w:rsid w:val="000D01A3"/>
    <w:rsid w:val="000D08E1"/>
    <w:rsid w:val="000F583D"/>
    <w:rsid w:val="000F7F2D"/>
    <w:rsid w:val="00100DC7"/>
    <w:rsid w:val="00127C4D"/>
    <w:rsid w:val="00130F1B"/>
    <w:rsid w:val="001B50A0"/>
    <w:rsid w:val="001D6C41"/>
    <w:rsid w:val="002818C6"/>
    <w:rsid w:val="002B4CF2"/>
    <w:rsid w:val="002F2C50"/>
    <w:rsid w:val="00303DBA"/>
    <w:rsid w:val="00306A32"/>
    <w:rsid w:val="0033125D"/>
    <w:rsid w:val="00397247"/>
    <w:rsid w:val="003D372B"/>
    <w:rsid w:val="003D74D0"/>
    <w:rsid w:val="00430430"/>
    <w:rsid w:val="004426EF"/>
    <w:rsid w:val="00493B2F"/>
    <w:rsid w:val="004D5D3B"/>
    <w:rsid w:val="00512753"/>
    <w:rsid w:val="005B635C"/>
    <w:rsid w:val="005C4C60"/>
    <w:rsid w:val="00656E36"/>
    <w:rsid w:val="006904C9"/>
    <w:rsid w:val="006F7E0E"/>
    <w:rsid w:val="00711F2C"/>
    <w:rsid w:val="00743965"/>
    <w:rsid w:val="00752C35"/>
    <w:rsid w:val="00757E3B"/>
    <w:rsid w:val="007D1F0A"/>
    <w:rsid w:val="008134FF"/>
    <w:rsid w:val="0084746D"/>
    <w:rsid w:val="00850BDE"/>
    <w:rsid w:val="008F7408"/>
    <w:rsid w:val="00927583"/>
    <w:rsid w:val="009427A8"/>
    <w:rsid w:val="009A73EF"/>
    <w:rsid w:val="009B0EB4"/>
    <w:rsid w:val="009C41B5"/>
    <w:rsid w:val="00A64BD2"/>
    <w:rsid w:val="00A82B62"/>
    <w:rsid w:val="00AA0CD9"/>
    <w:rsid w:val="00AC56FF"/>
    <w:rsid w:val="00B22205"/>
    <w:rsid w:val="00BB22F9"/>
    <w:rsid w:val="00C07562"/>
    <w:rsid w:val="00C2598E"/>
    <w:rsid w:val="00C478AC"/>
    <w:rsid w:val="00CB620B"/>
    <w:rsid w:val="00CD3283"/>
    <w:rsid w:val="00D602A2"/>
    <w:rsid w:val="00DE4BE8"/>
    <w:rsid w:val="00E543A7"/>
    <w:rsid w:val="00E87B81"/>
    <w:rsid w:val="00EA5767"/>
    <w:rsid w:val="00EB016C"/>
    <w:rsid w:val="00EC6F6A"/>
    <w:rsid w:val="00EE72CF"/>
    <w:rsid w:val="00F03290"/>
    <w:rsid w:val="00F129BA"/>
    <w:rsid w:val="00F14427"/>
    <w:rsid w:val="00F328B4"/>
    <w:rsid w:val="00F6379F"/>
    <w:rsid w:val="00FC3A6B"/>
    <w:rsid w:val="00FD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31BA"/>
  <w14:defaultImageDpi w14:val="32767"/>
  <w15:chartTrackingRefBased/>
  <w15:docId w15:val="{9EE7CF33-BF03-E149-8C85-E8AB0EFD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sz w:val="28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27C4D"/>
    <w:rPr>
      <w:rFonts w:ascii="宋体" w:hAnsi="宋体" w:cs="宋体"/>
      <w:sz w:val="24"/>
      <w:szCs w:val="24"/>
    </w:rPr>
  </w:style>
  <w:style w:type="paragraph" w:styleId="1">
    <w:name w:val="heading 1"/>
    <w:aliases w:val="1级标题"/>
    <w:basedOn w:val="a"/>
    <w:next w:val="a"/>
    <w:link w:val="10"/>
    <w:uiPriority w:val="1"/>
    <w:qFormat/>
    <w:rsid w:val="00E543A7"/>
    <w:pPr>
      <w:keepNext/>
      <w:keepLines/>
      <w:spacing w:before="340" w:after="330" w:line="360" w:lineRule="auto"/>
      <w:outlineLvl w:val="0"/>
    </w:pPr>
    <w:rPr>
      <w:rFonts w:eastAsia="黑体"/>
      <w:b/>
      <w:bCs/>
      <w:kern w:val="44"/>
      <w:sz w:val="36"/>
      <w:szCs w:val="44"/>
    </w:rPr>
  </w:style>
  <w:style w:type="paragraph" w:styleId="2">
    <w:name w:val="heading 2"/>
    <w:aliases w:val="2级标题"/>
    <w:basedOn w:val="a"/>
    <w:next w:val="a"/>
    <w:link w:val="20"/>
    <w:uiPriority w:val="9"/>
    <w:unhideWhenUsed/>
    <w:qFormat/>
    <w:rsid w:val="00E543A7"/>
    <w:pPr>
      <w:keepNext/>
      <w:keepLines/>
      <w:spacing w:before="260" w:after="260" w:line="360" w:lineRule="auto"/>
      <w:outlineLvl w:val="1"/>
    </w:pPr>
    <w:rPr>
      <w:rFonts w:asciiTheme="majorHAnsi" w:eastAsia="黑体" w:hAnsiTheme="majorHAnsi" w:cstheme="majorBidi"/>
      <w:b/>
      <w:bCs/>
      <w:sz w:val="32"/>
      <w:szCs w:val="32"/>
    </w:rPr>
  </w:style>
  <w:style w:type="paragraph" w:styleId="3">
    <w:name w:val="heading 3"/>
    <w:aliases w:val="3级标题"/>
    <w:basedOn w:val="a"/>
    <w:next w:val="a"/>
    <w:link w:val="30"/>
    <w:uiPriority w:val="9"/>
    <w:unhideWhenUsed/>
    <w:qFormat/>
    <w:rsid w:val="00E543A7"/>
    <w:pPr>
      <w:keepNext/>
      <w:keepLines/>
      <w:spacing w:before="260" w:after="260" w:line="360" w:lineRule="auto"/>
      <w:outlineLvl w:val="2"/>
    </w:pPr>
    <w:rPr>
      <w:rFonts w:eastAsia="黑体"/>
      <w:b/>
      <w:bCs/>
      <w:sz w:val="30"/>
      <w:szCs w:val="32"/>
    </w:rPr>
  </w:style>
  <w:style w:type="paragraph" w:styleId="4">
    <w:name w:val="heading 4"/>
    <w:aliases w:val="4级标题"/>
    <w:basedOn w:val="a"/>
    <w:next w:val="a"/>
    <w:link w:val="40"/>
    <w:uiPriority w:val="9"/>
    <w:unhideWhenUsed/>
    <w:qFormat/>
    <w:rsid w:val="00E543A7"/>
    <w:pPr>
      <w:keepNext/>
      <w:keepLines/>
      <w:spacing w:before="280" w:after="290" w:line="360" w:lineRule="auto"/>
      <w:outlineLvl w:val="3"/>
    </w:pPr>
    <w:rPr>
      <w:rFonts w:asciiTheme="majorHAnsi" w:eastAsia="黑体" w:hAnsiTheme="majorHAnsi" w:cstheme="majorBidi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E543A7"/>
    <w:pPr>
      <w:keepNext/>
      <w:keepLines/>
      <w:spacing w:before="280" w:after="290" w:line="376" w:lineRule="auto"/>
      <w:outlineLvl w:val="4"/>
    </w:pPr>
    <w:rPr>
      <w:rFonts w:eastAsia="黑体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2级标题 字符"/>
    <w:basedOn w:val="a0"/>
    <w:link w:val="2"/>
    <w:uiPriority w:val="9"/>
    <w:rsid w:val="00E543A7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10">
    <w:name w:val="标题 1 字符"/>
    <w:aliases w:val="1级标题 字符"/>
    <w:basedOn w:val="a0"/>
    <w:link w:val="1"/>
    <w:uiPriority w:val="9"/>
    <w:rsid w:val="00E543A7"/>
    <w:rPr>
      <w:rFonts w:eastAsia="黑体"/>
      <w:b/>
      <w:bCs/>
      <w:kern w:val="44"/>
      <w:sz w:val="36"/>
      <w:szCs w:val="44"/>
    </w:rPr>
  </w:style>
  <w:style w:type="character" w:customStyle="1" w:styleId="30">
    <w:name w:val="标题 3 字符"/>
    <w:aliases w:val="3级标题 字符"/>
    <w:basedOn w:val="a0"/>
    <w:link w:val="3"/>
    <w:uiPriority w:val="9"/>
    <w:rsid w:val="00E543A7"/>
    <w:rPr>
      <w:rFonts w:eastAsia="黑体"/>
      <w:b/>
      <w:bCs/>
      <w:sz w:val="30"/>
      <w:szCs w:val="32"/>
    </w:rPr>
  </w:style>
  <w:style w:type="character" w:customStyle="1" w:styleId="40">
    <w:name w:val="标题 4 字符"/>
    <w:aliases w:val="4级标题 字符"/>
    <w:basedOn w:val="a0"/>
    <w:link w:val="4"/>
    <w:uiPriority w:val="9"/>
    <w:rsid w:val="00E543A7"/>
    <w:rPr>
      <w:rFonts w:asciiTheme="majorHAnsi" w:eastAsia="黑体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E543A7"/>
    <w:rPr>
      <w:rFonts w:ascii="Times New Roman" w:eastAsia="黑体" w:hAnsi="Times New Roman" w:cs="Times New Roman"/>
      <w:b/>
      <w:bCs/>
      <w:szCs w:val="28"/>
    </w:rPr>
  </w:style>
  <w:style w:type="paragraph" w:styleId="a3">
    <w:name w:val="Normal (Web)"/>
    <w:basedOn w:val="a"/>
    <w:uiPriority w:val="99"/>
    <w:unhideWhenUsed/>
    <w:rsid w:val="00F6379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D08E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rsid w:val="000D08E1"/>
    <w:rPr>
      <w:color w:val="605E5C"/>
      <w:shd w:val="clear" w:color="auto" w:fill="E1DFDD"/>
    </w:rPr>
  </w:style>
  <w:style w:type="character" w:styleId="a6">
    <w:name w:val="footnote reference"/>
    <w:uiPriority w:val="99"/>
    <w:unhideWhenUsed/>
    <w:rsid w:val="00B222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xiaoxia Zhang</dc:creator>
  <cp:keywords/>
  <dc:description/>
  <cp:lastModifiedBy>xiaoxia Zhang</cp:lastModifiedBy>
  <cp:revision>10</cp:revision>
  <dcterms:created xsi:type="dcterms:W3CDTF">2019-11-29T04:46:00Z</dcterms:created>
  <dcterms:modified xsi:type="dcterms:W3CDTF">2019-11-30T15:25:00Z</dcterms:modified>
</cp:coreProperties>
</file>