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303F" w:rsidRPr="0022303F" w:rsidRDefault="0022303F" w:rsidP="0022303F">
      <w:pPr>
        <w:bidi w:val="0"/>
        <w:spacing w:before="200" w:after="120" w:line="300" w:lineRule="auto"/>
        <w:jc w:val="both"/>
        <w:outlineLvl w:val="0"/>
        <w:rPr>
          <w:rFonts w:asciiTheme="majorBidi" w:hAnsiTheme="majorBidi" w:cstheme="majorBidi"/>
          <w:b/>
          <w:bCs/>
          <w:sz w:val="24"/>
          <w:szCs w:val="24"/>
        </w:rPr>
      </w:pPr>
      <w:r w:rsidRPr="0022303F">
        <w:rPr>
          <w:rFonts w:asciiTheme="majorBidi" w:hAnsiTheme="majorBidi" w:cstheme="majorBidi"/>
          <w:b/>
          <w:bCs/>
          <w:sz w:val="24"/>
          <w:szCs w:val="24"/>
        </w:rPr>
        <w:t>Cost benefit analyses of Policy Tools for Encouragement of Plug-in Electric Vehicles Use</w:t>
      </w:r>
    </w:p>
    <w:p w:rsidR="0022303F" w:rsidRPr="0022303F" w:rsidRDefault="0022303F" w:rsidP="0022303F">
      <w:pPr>
        <w:bidi w:val="0"/>
        <w:spacing w:before="120" w:after="120" w:line="300" w:lineRule="auto"/>
        <w:jc w:val="both"/>
        <w:rPr>
          <w:rFonts w:asciiTheme="majorBidi" w:hAnsiTheme="majorBidi" w:cstheme="majorBidi"/>
          <w:sz w:val="24"/>
          <w:szCs w:val="24"/>
        </w:rPr>
      </w:pPr>
      <w:proofErr w:type="spellStart"/>
      <w:r w:rsidRPr="0022303F">
        <w:rPr>
          <w:rFonts w:asciiTheme="majorBidi" w:hAnsiTheme="majorBidi" w:cstheme="majorBidi"/>
          <w:sz w:val="24"/>
          <w:szCs w:val="24"/>
        </w:rPr>
        <w:t>Doron</w:t>
      </w:r>
      <w:proofErr w:type="spellEnd"/>
      <w:r w:rsidRPr="0022303F">
        <w:rPr>
          <w:rFonts w:asciiTheme="majorBidi" w:hAnsiTheme="majorBidi" w:cstheme="majorBidi"/>
          <w:sz w:val="24"/>
          <w:szCs w:val="24"/>
        </w:rPr>
        <w:t xml:space="preserve"> Lavee</w:t>
      </w:r>
      <w:r w:rsidRPr="0022303F">
        <w:rPr>
          <w:rFonts w:asciiTheme="majorBidi" w:hAnsiTheme="majorBidi" w:cstheme="majorBidi"/>
          <w:sz w:val="24"/>
          <w:szCs w:val="24"/>
          <w:vertAlign w:val="superscript"/>
        </w:rPr>
        <w:footnoteReference w:id="1"/>
      </w:r>
      <w:r w:rsidRPr="0022303F">
        <w:rPr>
          <w:rFonts w:asciiTheme="majorBidi" w:hAnsiTheme="majorBidi" w:cstheme="majorBidi"/>
          <w:sz w:val="24"/>
          <w:szCs w:val="24"/>
          <w:vertAlign w:val="superscript"/>
        </w:rPr>
        <w:footnoteReference w:id="2"/>
      </w:r>
      <w:r w:rsidRPr="0022303F">
        <w:rPr>
          <w:rFonts w:asciiTheme="majorBidi" w:hAnsiTheme="majorBidi" w:cstheme="majorBidi"/>
          <w:sz w:val="24"/>
          <w:szCs w:val="24"/>
        </w:rPr>
        <w:t xml:space="preserve">, Avi </w:t>
      </w:r>
      <w:proofErr w:type="spellStart"/>
      <w:r w:rsidRPr="0022303F">
        <w:rPr>
          <w:rFonts w:asciiTheme="majorBidi" w:hAnsiTheme="majorBidi" w:cstheme="majorBidi"/>
          <w:sz w:val="24"/>
          <w:szCs w:val="24"/>
        </w:rPr>
        <w:t>Parsha</w:t>
      </w:r>
      <w:proofErr w:type="spellEnd"/>
      <w:r w:rsidRPr="0022303F">
        <w:rPr>
          <w:rFonts w:asciiTheme="majorBidi" w:hAnsiTheme="majorBidi" w:cstheme="majorBidi"/>
          <w:sz w:val="24"/>
          <w:szCs w:val="24"/>
          <w:vertAlign w:val="superscript"/>
        </w:rPr>
        <w:footnoteReference w:id="3"/>
      </w:r>
    </w:p>
    <w:p w:rsidR="0022303F" w:rsidRPr="0022303F" w:rsidRDefault="0022303F" w:rsidP="0022303F">
      <w:pPr>
        <w:bidi w:val="0"/>
        <w:spacing w:before="200" w:after="120" w:line="300" w:lineRule="auto"/>
        <w:jc w:val="both"/>
        <w:outlineLvl w:val="0"/>
        <w:rPr>
          <w:rFonts w:asciiTheme="majorBidi" w:hAnsiTheme="majorBidi" w:cstheme="majorBidi"/>
          <w:b/>
          <w:bCs/>
          <w:sz w:val="24"/>
          <w:szCs w:val="24"/>
        </w:rPr>
      </w:pPr>
      <w:r w:rsidRPr="0022303F">
        <w:rPr>
          <w:rFonts w:asciiTheme="majorBidi" w:hAnsiTheme="majorBidi" w:cstheme="majorBidi"/>
          <w:b/>
          <w:bCs/>
          <w:sz w:val="24"/>
          <w:szCs w:val="24"/>
        </w:rPr>
        <w:t>Abstract</w:t>
      </w:r>
    </w:p>
    <w:p w:rsidR="0022303F" w:rsidRPr="0022303F" w:rsidRDefault="0022303F" w:rsidP="0022303F">
      <w:pPr>
        <w:bidi w:val="0"/>
        <w:spacing w:before="120" w:after="120" w:line="300" w:lineRule="auto"/>
        <w:jc w:val="both"/>
        <w:rPr>
          <w:rFonts w:asciiTheme="majorBidi" w:hAnsiTheme="majorBidi" w:cstheme="majorBidi"/>
          <w:sz w:val="24"/>
          <w:szCs w:val="24"/>
        </w:rPr>
      </w:pPr>
      <w:r w:rsidRPr="0022303F">
        <w:rPr>
          <w:rFonts w:asciiTheme="majorBidi" w:hAnsiTheme="majorBidi" w:cstheme="majorBidi"/>
          <w:sz w:val="24"/>
          <w:szCs w:val="24"/>
        </w:rPr>
        <w:t xml:space="preserve">Over the last several years, the global automotive market is undergoing a technological change that is leaning towards the usage of Plug-in Vehicles (PEVs) Battery PEVs (BEVs) and Plug-in Hybrid PEVs (PHEVs). This trend is, to a significant extent, the result of internal policies implemented by different countries around the world, with emphasis on developed countries, for purposes of reducing greenhouse gas emissions from traffic, with the PEV being the primary means for achieving the reduction of said emissions. However, there are several barriers that make it harder to penetrate the market, among them high acquisition cost, limited travel distance, and lack of charging infrastructure deployment. To overcome these barriers, the government need to employ policy measures to encourage the formation and development of the PEV market. </w:t>
      </w:r>
    </w:p>
    <w:p w:rsidR="0022303F" w:rsidRPr="0022303F" w:rsidRDefault="0022303F" w:rsidP="0022303F">
      <w:pPr>
        <w:bidi w:val="0"/>
        <w:spacing w:before="120" w:after="120" w:line="300" w:lineRule="auto"/>
        <w:jc w:val="both"/>
        <w:rPr>
          <w:rFonts w:asciiTheme="majorBidi" w:hAnsiTheme="majorBidi" w:cstheme="majorBidi"/>
          <w:sz w:val="24"/>
          <w:szCs w:val="24"/>
        </w:rPr>
      </w:pPr>
      <w:r w:rsidRPr="0022303F">
        <w:rPr>
          <w:rFonts w:asciiTheme="majorBidi" w:hAnsiTheme="majorBidi" w:cstheme="majorBidi"/>
          <w:sz w:val="24"/>
          <w:szCs w:val="24"/>
        </w:rPr>
        <w:t>In this paper, we used a CBA to determine the most efficient policy tools that will accelerate the PEV market in Israel. We composed three alternative policy sets, each alternative differentiated and rated based on the extent of government support and investment required, as well as on their estimated impact on PEV market growth and the benefits derived from them.</w:t>
      </w:r>
    </w:p>
    <w:p w:rsidR="0022303F" w:rsidRPr="0022303F" w:rsidRDefault="0022303F" w:rsidP="0022303F">
      <w:pPr>
        <w:bidi w:val="0"/>
        <w:spacing w:before="200" w:after="120" w:line="300" w:lineRule="auto"/>
        <w:jc w:val="both"/>
        <w:outlineLvl w:val="0"/>
        <w:rPr>
          <w:rFonts w:asciiTheme="majorBidi" w:hAnsiTheme="majorBidi" w:cstheme="majorBidi"/>
          <w:b/>
          <w:bCs/>
          <w:sz w:val="24"/>
          <w:szCs w:val="24"/>
          <w:rtl/>
        </w:rPr>
      </w:pPr>
      <w:r w:rsidRPr="0022303F">
        <w:rPr>
          <w:rFonts w:asciiTheme="majorBidi" w:hAnsiTheme="majorBidi" w:cstheme="majorBidi"/>
          <w:b/>
          <w:bCs/>
          <w:sz w:val="24"/>
          <w:szCs w:val="24"/>
        </w:rPr>
        <w:t>Keywords</w:t>
      </w:r>
    </w:p>
    <w:p w:rsidR="0022303F" w:rsidRPr="0022303F" w:rsidRDefault="0022303F" w:rsidP="0022303F">
      <w:pPr>
        <w:bidi w:val="0"/>
        <w:spacing w:before="120" w:after="120" w:line="300" w:lineRule="auto"/>
        <w:jc w:val="both"/>
        <w:rPr>
          <w:rFonts w:asciiTheme="majorBidi" w:hAnsiTheme="majorBidi" w:cstheme="majorBidi"/>
          <w:sz w:val="24"/>
          <w:szCs w:val="24"/>
        </w:rPr>
      </w:pPr>
      <w:r w:rsidRPr="0022303F">
        <w:rPr>
          <w:rFonts w:asciiTheme="majorBidi" w:hAnsiTheme="majorBidi" w:cstheme="majorBidi"/>
          <w:sz w:val="24"/>
          <w:szCs w:val="24"/>
        </w:rPr>
        <w:t>PEV adoption, Incentives, Public policy, Electric vehicles, Cost-Benefit analysis.</w:t>
      </w:r>
    </w:p>
    <w:p w:rsidR="0022303F" w:rsidRPr="0022303F" w:rsidRDefault="0022303F" w:rsidP="0022303F">
      <w:pPr>
        <w:bidi w:val="0"/>
        <w:spacing w:before="120" w:after="120" w:line="300" w:lineRule="auto"/>
        <w:jc w:val="both"/>
        <w:rPr>
          <w:rFonts w:asciiTheme="majorBidi" w:hAnsiTheme="majorBidi" w:cstheme="majorBidi"/>
          <w:sz w:val="24"/>
          <w:szCs w:val="24"/>
          <w:rtl/>
        </w:rPr>
      </w:pPr>
    </w:p>
    <w:p w:rsidR="0022303F" w:rsidRPr="0022303F" w:rsidRDefault="0022303F" w:rsidP="0022303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Theme="majorBidi" w:eastAsia="Times New Roman" w:hAnsiTheme="majorBidi" w:cstheme="majorBidi"/>
          <w:b/>
          <w:bCs/>
          <w:color w:val="212121"/>
          <w:sz w:val="24"/>
          <w:szCs w:val="24"/>
        </w:rPr>
      </w:pPr>
      <w:r w:rsidRPr="0022303F">
        <w:rPr>
          <w:rFonts w:asciiTheme="majorBidi" w:eastAsia="Times New Roman" w:hAnsiTheme="majorBidi" w:cstheme="majorBidi"/>
          <w:b/>
          <w:bCs/>
          <w:color w:val="212121"/>
          <w:sz w:val="24"/>
          <w:szCs w:val="24"/>
          <w:lang w:val="en"/>
        </w:rPr>
        <w:t>Bibliography</w:t>
      </w:r>
    </w:p>
    <w:p w:rsidR="0022303F" w:rsidRDefault="0022303F" w:rsidP="0022303F">
      <w:pPr>
        <w:bidi w:val="0"/>
        <w:spacing w:before="120" w:after="120" w:line="300" w:lineRule="auto"/>
        <w:rPr>
          <w:rFonts w:asciiTheme="majorBidi" w:hAnsiTheme="majorBidi" w:cstheme="majorBidi"/>
          <w:sz w:val="24"/>
          <w:szCs w:val="24"/>
        </w:rPr>
      </w:pPr>
    </w:p>
    <w:p w:rsidR="0022303F" w:rsidRPr="0022303F" w:rsidRDefault="0022303F" w:rsidP="0022303F">
      <w:pPr>
        <w:bidi w:val="0"/>
        <w:spacing w:before="120" w:after="120" w:line="300" w:lineRule="auto"/>
        <w:rPr>
          <w:rFonts w:asciiTheme="majorBidi" w:hAnsiTheme="majorBidi" w:cstheme="majorBidi"/>
          <w:sz w:val="24"/>
          <w:szCs w:val="24"/>
        </w:rPr>
      </w:pPr>
      <w:proofErr w:type="spellStart"/>
      <w:r w:rsidRPr="0022303F">
        <w:rPr>
          <w:rFonts w:asciiTheme="majorBidi" w:hAnsiTheme="majorBidi" w:cstheme="majorBidi"/>
          <w:sz w:val="24"/>
          <w:szCs w:val="24"/>
        </w:rPr>
        <w:t>Axsen</w:t>
      </w:r>
      <w:proofErr w:type="spellEnd"/>
      <w:r w:rsidRPr="0022303F">
        <w:rPr>
          <w:rFonts w:asciiTheme="majorBidi" w:hAnsiTheme="majorBidi" w:cstheme="majorBidi"/>
          <w:sz w:val="24"/>
          <w:szCs w:val="24"/>
        </w:rPr>
        <w:t xml:space="preserve">, J., </w:t>
      </w:r>
      <w:proofErr w:type="gramStart"/>
      <w:r w:rsidRPr="0022303F">
        <w:rPr>
          <w:rFonts w:asciiTheme="majorBidi" w:hAnsiTheme="majorBidi" w:cstheme="majorBidi"/>
          <w:sz w:val="24"/>
          <w:szCs w:val="24"/>
        </w:rPr>
        <w:t xml:space="preserve">and  </w:t>
      </w:r>
      <w:proofErr w:type="spellStart"/>
      <w:r w:rsidRPr="0022303F">
        <w:rPr>
          <w:rFonts w:asciiTheme="majorBidi" w:hAnsiTheme="majorBidi" w:cstheme="majorBidi"/>
          <w:sz w:val="24"/>
          <w:szCs w:val="24"/>
        </w:rPr>
        <w:t>Kurani</w:t>
      </w:r>
      <w:proofErr w:type="spellEnd"/>
      <w:proofErr w:type="gramEnd"/>
      <w:r w:rsidRPr="0022303F">
        <w:rPr>
          <w:rFonts w:asciiTheme="majorBidi" w:hAnsiTheme="majorBidi" w:cstheme="majorBidi"/>
          <w:sz w:val="24"/>
          <w:szCs w:val="24"/>
        </w:rPr>
        <w:t>, K.S,.(2010), Anticipating plug-in hybrid vehicle energy i</w:t>
      </w:r>
      <w:bookmarkStart w:id="0" w:name="_GoBack"/>
      <w:bookmarkEnd w:id="0"/>
      <w:r w:rsidRPr="0022303F">
        <w:rPr>
          <w:rFonts w:asciiTheme="majorBidi" w:hAnsiTheme="majorBidi" w:cstheme="majorBidi"/>
          <w:sz w:val="24"/>
          <w:szCs w:val="24"/>
        </w:rPr>
        <w:t xml:space="preserve">mpacts in California: Constructing consumer-informed recharge profiles, </w:t>
      </w:r>
      <w:r w:rsidRPr="0022303F">
        <w:rPr>
          <w:rFonts w:asciiTheme="majorBidi" w:hAnsiTheme="majorBidi" w:cstheme="majorBidi"/>
          <w:i/>
          <w:iCs/>
          <w:sz w:val="24"/>
          <w:szCs w:val="24"/>
        </w:rPr>
        <w:t>Transportation Research Part D: Transport and Environment</w:t>
      </w:r>
      <w:r w:rsidRPr="0022303F">
        <w:rPr>
          <w:rFonts w:asciiTheme="majorBidi" w:hAnsiTheme="majorBidi" w:cstheme="majorBidi"/>
          <w:sz w:val="24"/>
          <w:szCs w:val="24"/>
        </w:rPr>
        <w:t>, 15 (4), pp. 212-219.</w:t>
      </w:r>
    </w:p>
    <w:p w:rsidR="0022303F" w:rsidRPr="0022303F" w:rsidRDefault="0022303F" w:rsidP="0022303F">
      <w:pPr>
        <w:bidi w:val="0"/>
        <w:spacing w:before="120" w:after="120" w:line="300" w:lineRule="auto"/>
        <w:rPr>
          <w:rFonts w:asciiTheme="majorBidi" w:hAnsiTheme="majorBidi" w:cstheme="majorBidi"/>
          <w:sz w:val="24"/>
          <w:szCs w:val="24"/>
        </w:rPr>
      </w:pPr>
      <w:proofErr w:type="spellStart"/>
      <w:r w:rsidRPr="0022303F">
        <w:rPr>
          <w:rFonts w:asciiTheme="majorBidi" w:hAnsiTheme="majorBidi" w:cstheme="majorBidi"/>
          <w:sz w:val="24"/>
          <w:szCs w:val="24"/>
        </w:rPr>
        <w:t>Bjerkana</w:t>
      </w:r>
      <w:proofErr w:type="spellEnd"/>
      <w:r w:rsidRPr="0022303F">
        <w:rPr>
          <w:rFonts w:asciiTheme="majorBidi" w:hAnsiTheme="majorBidi" w:cstheme="majorBidi"/>
          <w:sz w:val="24"/>
          <w:szCs w:val="24"/>
        </w:rPr>
        <w:t xml:space="preserve"> K. Y. </w:t>
      </w:r>
      <w:proofErr w:type="spellStart"/>
      <w:r w:rsidRPr="0022303F">
        <w:rPr>
          <w:rFonts w:asciiTheme="majorBidi" w:hAnsiTheme="majorBidi" w:cstheme="majorBidi"/>
          <w:sz w:val="24"/>
          <w:szCs w:val="24"/>
        </w:rPr>
        <w:t>Nørbechb</w:t>
      </w:r>
      <w:proofErr w:type="spellEnd"/>
      <w:r w:rsidRPr="0022303F">
        <w:rPr>
          <w:rFonts w:asciiTheme="majorBidi" w:hAnsiTheme="majorBidi" w:cstheme="majorBidi"/>
          <w:sz w:val="24"/>
          <w:szCs w:val="24"/>
        </w:rPr>
        <w:t xml:space="preserve"> T. and </w:t>
      </w:r>
      <w:proofErr w:type="spellStart"/>
      <w:r w:rsidRPr="0022303F">
        <w:rPr>
          <w:rFonts w:asciiTheme="majorBidi" w:hAnsiTheme="majorBidi" w:cstheme="majorBidi"/>
          <w:sz w:val="24"/>
          <w:szCs w:val="24"/>
        </w:rPr>
        <w:t>Nordtømmea</w:t>
      </w:r>
      <w:proofErr w:type="spellEnd"/>
      <w:r w:rsidRPr="0022303F">
        <w:rPr>
          <w:rFonts w:asciiTheme="majorBidi" w:hAnsiTheme="majorBidi" w:cstheme="majorBidi"/>
          <w:sz w:val="24"/>
          <w:szCs w:val="24"/>
        </w:rPr>
        <w:t xml:space="preserve"> M. E., (2016),  Incentives for promoting Battery Electric Vehicle (BEV) adoption in Norway, </w:t>
      </w:r>
      <w:r w:rsidRPr="0022303F">
        <w:rPr>
          <w:rFonts w:asciiTheme="majorBidi" w:hAnsiTheme="majorBidi" w:cstheme="majorBidi"/>
          <w:i/>
          <w:iCs/>
          <w:sz w:val="24"/>
          <w:szCs w:val="24"/>
        </w:rPr>
        <w:t>Transportation Research Part D: Transport and Environment,</w:t>
      </w:r>
      <w:r w:rsidRPr="0022303F">
        <w:rPr>
          <w:rFonts w:asciiTheme="majorBidi" w:hAnsiTheme="majorBidi" w:cstheme="majorBidi"/>
          <w:sz w:val="24"/>
          <w:szCs w:val="24"/>
        </w:rPr>
        <w:t xml:space="preserve"> 43, Pages 169-180.</w:t>
      </w:r>
    </w:p>
    <w:p w:rsidR="0022303F" w:rsidRPr="0022303F" w:rsidRDefault="0022303F" w:rsidP="0022303F">
      <w:pPr>
        <w:bidi w:val="0"/>
        <w:spacing w:before="120" w:after="120" w:line="300" w:lineRule="auto"/>
        <w:rPr>
          <w:rFonts w:asciiTheme="majorBidi" w:hAnsiTheme="majorBidi" w:cstheme="majorBidi"/>
          <w:sz w:val="24"/>
          <w:szCs w:val="24"/>
        </w:rPr>
      </w:pPr>
      <w:proofErr w:type="spellStart"/>
      <w:r w:rsidRPr="0022303F">
        <w:rPr>
          <w:rFonts w:asciiTheme="majorBidi" w:hAnsiTheme="majorBidi" w:cstheme="majorBidi"/>
          <w:sz w:val="24"/>
          <w:szCs w:val="24"/>
        </w:rPr>
        <w:lastRenderedPageBreak/>
        <w:t>Chatzikomis</w:t>
      </w:r>
      <w:proofErr w:type="spellEnd"/>
      <w:r w:rsidRPr="0022303F">
        <w:rPr>
          <w:rFonts w:asciiTheme="majorBidi" w:hAnsiTheme="majorBidi" w:cstheme="majorBidi"/>
          <w:sz w:val="24"/>
          <w:szCs w:val="24"/>
        </w:rPr>
        <w:t xml:space="preserve">, C.I., </w:t>
      </w:r>
      <w:proofErr w:type="spellStart"/>
      <w:r w:rsidRPr="0022303F">
        <w:rPr>
          <w:rFonts w:asciiTheme="majorBidi" w:hAnsiTheme="majorBidi" w:cstheme="majorBidi"/>
          <w:sz w:val="24"/>
          <w:szCs w:val="24"/>
        </w:rPr>
        <w:t>Spentzas</w:t>
      </w:r>
      <w:proofErr w:type="spellEnd"/>
      <w:r w:rsidRPr="0022303F">
        <w:rPr>
          <w:rFonts w:asciiTheme="majorBidi" w:hAnsiTheme="majorBidi" w:cstheme="majorBidi"/>
          <w:sz w:val="24"/>
          <w:szCs w:val="24"/>
        </w:rPr>
        <w:t xml:space="preserve">, K.N., and Mamalis, A.G., 2014, Environmental and economic effects of widespread introduction of electric vehicles in Greece, </w:t>
      </w:r>
      <w:r w:rsidRPr="0022303F">
        <w:rPr>
          <w:rFonts w:asciiTheme="majorBidi" w:hAnsiTheme="majorBidi" w:cstheme="majorBidi"/>
          <w:i/>
          <w:iCs/>
          <w:sz w:val="24"/>
          <w:szCs w:val="24"/>
        </w:rPr>
        <w:t>European Transport Research Review</w:t>
      </w:r>
      <w:r w:rsidRPr="0022303F">
        <w:rPr>
          <w:rFonts w:asciiTheme="majorBidi" w:hAnsiTheme="majorBidi" w:cstheme="majorBidi"/>
          <w:sz w:val="24"/>
          <w:szCs w:val="24"/>
        </w:rPr>
        <w:t>, 6 (4), pp. 365-376.</w:t>
      </w:r>
    </w:p>
    <w:p w:rsidR="0022303F" w:rsidRPr="0022303F" w:rsidRDefault="0022303F" w:rsidP="0022303F">
      <w:pPr>
        <w:bidi w:val="0"/>
        <w:spacing w:before="120" w:after="120" w:line="300" w:lineRule="auto"/>
        <w:rPr>
          <w:rFonts w:asciiTheme="majorBidi" w:hAnsiTheme="majorBidi" w:cstheme="majorBidi"/>
          <w:sz w:val="24"/>
          <w:szCs w:val="24"/>
        </w:rPr>
      </w:pPr>
      <w:proofErr w:type="spellStart"/>
      <w:r w:rsidRPr="0022303F">
        <w:rPr>
          <w:rFonts w:asciiTheme="majorBidi" w:hAnsiTheme="majorBidi" w:cstheme="majorBidi"/>
          <w:sz w:val="24"/>
          <w:szCs w:val="24"/>
        </w:rPr>
        <w:t>Colvile</w:t>
      </w:r>
      <w:proofErr w:type="spellEnd"/>
      <w:r w:rsidRPr="0022303F">
        <w:rPr>
          <w:rFonts w:asciiTheme="majorBidi" w:hAnsiTheme="majorBidi" w:cstheme="majorBidi"/>
          <w:sz w:val="24"/>
          <w:szCs w:val="24"/>
        </w:rPr>
        <w:t>, R., Hutchinson, E., Mindell, J., and Warren, R. (2001). The transport sector as a source of air pollution. Atmospheric Environment, pp. 1537-1565.</w:t>
      </w:r>
    </w:p>
    <w:p w:rsidR="0022303F" w:rsidRPr="0022303F" w:rsidRDefault="0022303F" w:rsidP="0022303F">
      <w:pPr>
        <w:bidi w:val="0"/>
        <w:spacing w:before="120" w:after="120" w:line="300" w:lineRule="auto"/>
        <w:rPr>
          <w:rFonts w:asciiTheme="majorBidi" w:hAnsiTheme="majorBidi" w:cstheme="majorBidi"/>
          <w:sz w:val="24"/>
          <w:szCs w:val="24"/>
        </w:rPr>
      </w:pPr>
      <w:r w:rsidRPr="0022303F">
        <w:rPr>
          <w:rFonts w:asciiTheme="majorBidi" w:hAnsiTheme="majorBidi" w:cstheme="majorBidi"/>
          <w:sz w:val="24"/>
          <w:szCs w:val="24"/>
        </w:rPr>
        <w:t xml:space="preserve">De </w:t>
      </w:r>
      <w:proofErr w:type="spellStart"/>
      <w:r w:rsidRPr="0022303F">
        <w:rPr>
          <w:rFonts w:asciiTheme="majorBidi" w:hAnsiTheme="majorBidi" w:cstheme="majorBidi"/>
          <w:sz w:val="24"/>
          <w:szCs w:val="24"/>
        </w:rPr>
        <w:t>Clerck</w:t>
      </w:r>
      <w:proofErr w:type="spellEnd"/>
      <w:r w:rsidRPr="0022303F">
        <w:rPr>
          <w:rFonts w:asciiTheme="majorBidi" w:hAnsiTheme="majorBidi" w:cstheme="majorBidi"/>
          <w:sz w:val="24"/>
          <w:szCs w:val="24"/>
        </w:rPr>
        <w:t xml:space="preserve">, </w:t>
      </w:r>
      <w:proofErr w:type="spellStart"/>
      <w:r w:rsidRPr="0022303F">
        <w:rPr>
          <w:rFonts w:asciiTheme="majorBidi" w:hAnsiTheme="majorBidi" w:cstheme="majorBidi"/>
          <w:sz w:val="24"/>
          <w:szCs w:val="24"/>
        </w:rPr>
        <w:t>Q.Email</w:t>
      </w:r>
      <w:proofErr w:type="spellEnd"/>
      <w:r w:rsidRPr="0022303F">
        <w:rPr>
          <w:rFonts w:asciiTheme="majorBidi" w:hAnsiTheme="majorBidi" w:cstheme="majorBidi"/>
          <w:sz w:val="24"/>
          <w:szCs w:val="24"/>
        </w:rPr>
        <w:t>, van Lier, T.</w:t>
      </w:r>
      <w:proofErr w:type="gramStart"/>
      <w:r w:rsidRPr="0022303F">
        <w:rPr>
          <w:rFonts w:asciiTheme="majorBidi" w:hAnsiTheme="majorBidi" w:cstheme="majorBidi"/>
          <w:sz w:val="24"/>
          <w:szCs w:val="24"/>
        </w:rPr>
        <w:t xml:space="preserve">,  </w:t>
      </w:r>
      <w:proofErr w:type="spellStart"/>
      <w:r w:rsidRPr="0022303F">
        <w:rPr>
          <w:rFonts w:asciiTheme="majorBidi" w:hAnsiTheme="majorBidi" w:cstheme="majorBidi"/>
          <w:sz w:val="24"/>
          <w:szCs w:val="24"/>
        </w:rPr>
        <w:t>Messagie</w:t>
      </w:r>
      <w:proofErr w:type="spellEnd"/>
      <w:proofErr w:type="gramEnd"/>
      <w:r w:rsidRPr="0022303F">
        <w:rPr>
          <w:rFonts w:asciiTheme="majorBidi" w:hAnsiTheme="majorBidi" w:cstheme="majorBidi"/>
          <w:sz w:val="24"/>
          <w:szCs w:val="24"/>
        </w:rPr>
        <w:t xml:space="preserve">, M.,  </w:t>
      </w:r>
      <w:proofErr w:type="spellStart"/>
      <w:r w:rsidRPr="0022303F">
        <w:rPr>
          <w:rFonts w:asciiTheme="majorBidi" w:hAnsiTheme="majorBidi" w:cstheme="majorBidi"/>
          <w:sz w:val="24"/>
          <w:szCs w:val="24"/>
        </w:rPr>
        <w:t>Macharis</w:t>
      </w:r>
      <w:proofErr w:type="spellEnd"/>
      <w:r w:rsidRPr="0022303F">
        <w:rPr>
          <w:rFonts w:asciiTheme="majorBidi" w:hAnsiTheme="majorBidi" w:cstheme="majorBidi"/>
          <w:sz w:val="24"/>
          <w:szCs w:val="24"/>
        </w:rPr>
        <w:t xml:space="preserve">, C.,  Van </w:t>
      </w:r>
      <w:proofErr w:type="spellStart"/>
      <w:r w:rsidRPr="0022303F">
        <w:rPr>
          <w:rFonts w:asciiTheme="majorBidi" w:hAnsiTheme="majorBidi" w:cstheme="majorBidi"/>
          <w:sz w:val="24"/>
          <w:szCs w:val="24"/>
        </w:rPr>
        <w:t>Mierlo</w:t>
      </w:r>
      <w:proofErr w:type="spellEnd"/>
      <w:r w:rsidRPr="0022303F">
        <w:rPr>
          <w:rFonts w:asciiTheme="majorBidi" w:hAnsiTheme="majorBidi" w:cstheme="majorBidi"/>
          <w:sz w:val="24"/>
          <w:szCs w:val="24"/>
        </w:rPr>
        <w:t xml:space="preserve">, J.,  and </w:t>
      </w:r>
      <w:proofErr w:type="spellStart"/>
      <w:r w:rsidRPr="0022303F">
        <w:rPr>
          <w:rFonts w:asciiTheme="majorBidi" w:hAnsiTheme="majorBidi" w:cstheme="majorBidi"/>
          <w:sz w:val="24"/>
          <w:szCs w:val="24"/>
        </w:rPr>
        <w:t>Vanhaverbeke</w:t>
      </w:r>
      <w:proofErr w:type="spellEnd"/>
      <w:r w:rsidRPr="0022303F">
        <w:rPr>
          <w:rFonts w:asciiTheme="majorBidi" w:hAnsiTheme="majorBidi" w:cstheme="majorBidi"/>
          <w:sz w:val="24"/>
          <w:szCs w:val="24"/>
        </w:rPr>
        <w:t xml:space="preserve">, L., (2018), Total Cost for Society: A persona-based analysis of electric and conventional vehicles, </w:t>
      </w:r>
      <w:r w:rsidRPr="0022303F">
        <w:rPr>
          <w:rFonts w:asciiTheme="majorBidi" w:hAnsiTheme="majorBidi" w:cstheme="majorBidi"/>
          <w:i/>
          <w:iCs/>
          <w:sz w:val="24"/>
          <w:szCs w:val="24"/>
        </w:rPr>
        <w:t>Transportation Research Part D: Transport and Environment</w:t>
      </w:r>
      <w:r w:rsidRPr="0022303F">
        <w:rPr>
          <w:rFonts w:asciiTheme="majorBidi" w:hAnsiTheme="majorBidi" w:cstheme="majorBidi"/>
          <w:sz w:val="24"/>
          <w:szCs w:val="24"/>
        </w:rPr>
        <w:t xml:space="preserve"> (in press).</w:t>
      </w:r>
    </w:p>
    <w:p w:rsidR="0022303F" w:rsidRPr="0022303F" w:rsidRDefault="0022303F" w:rsidP="0022303F">
      <w:pPr>
        <w:bidi w:val="0"/>
        <w:spacing w:before="120" w:after="120" w:line="300" w:lineRule="auto"/>
        <w:rPr>
          <w:rFonts w:asciiTheme="majorBidi" w:hAnsiTheme="majorBidi" w:cstheme="majorBidi"/>
          <w:sz w:val="24"/>
          <w:szCs w:val="24"/>
        </w:rPr>
      </w:pPr>
      <w:r w:rsidRPr="0022303F">
        <w:rPr>
          <w:rFonts w:asciiTheme="majorBidi" w:hAnsiTheme="majorBidi" w:cstheme="majorBidi"/>
          <w:sz w:val="24"/>
          <w:szCs w:val="24"/>
        </w:rPr>
        <w:t>Delgado, J.</w:t>
      </w:r>
      <w:proofErr w:type="gramStart"/>
      <w:r w:rsidRPr="0022303F">
        <w:rPr>
          <w:rFonts w:asciiTheme="majorBidi" w:hAnsiTheme="majorBidi" w:cstheme="majorBidi"/>
          <w:sz w:val="24"/>
          <w:szCs w:val="24"/>
        </w:rPr>
        <w:t xml:space="preserve">,  </w:t>
      </w:r>
      <w:proofErr w:type="spellStart"/>
      <w:r w:rsidRPr="0022303F">
        <w:rPr>
          <w:rFonts w:asciiTheme="majorBidi" w:hAnsiTheme="majorBidi" w:cstheme="majorBidi"/>
          <w:sz w:val="24"/>
          <w:szCs w:val="24"/>
        </w:rPr>
        <w:t>Faria</w:t>
      </w:r>
      <w:proofErr w:type="spellEnd"/>
      <w:proofErr w:type="gramEnd"/>
      <w:r w:rsidRPr="0022303F">
        <w:rPr>
          <w:rFonts w:asciiTheme="majorBidi" w:hAnsiTheme="majorBidi" w:cstheme="majorBidi"/>
          <w:sz w:val="24"/>
          <w:szCs w:val="24"/>
        </w:rPr>
        <w:t xml:space="preserve">, R.,  Moura, P.,  de Almeida, (2018), Impacts of plug-in electric vehicles in the </w:t>
      </w:r>
      <w:proofErr w:type="spellStart"/>
      <w:r w:rsidRPr="0022303F">
        <w:rPr>
          <w:rFonts w:asciiTheme="majorBidi" w:hAnsiTheme="majorBidi" w:cstheme="majorBidi"/>
          <w:sz w:val="24"/>
          <w:szCs w:val="24"/>
        </w:rPr>
        <w:t>portuguese</w:t>
      </w:r>
      <w:proofErr w:type="spellEnd"/>
      <w:r w:rsidRPr="0022303F">
        <w:rPr>
          <w:rFonts w:asciiTheme="majorBidi" w:hAnsiTheme="majorBidi" w:cstheme="majorBidi"/>
          <w:sz w:val="24"/>
          <w:szCs w:val="24"/>
        </w:rPr>
        <w:t xml:space="preserve"> electrical grid, </w:t>
      </w:r>
      <w:r w:rsidRPr="0022303F">
        <w:rPr>
          <w:rFonts w:asciiTheme="majorBidi" w:hAnsiTheme="majorBidi" w:cstheme="majorBidi"/>
          <w:i/>
          <w:iCs/>
          <w:sz w:val="24"/>
          <w:szCs w:val="24"/>
        </w:rPr>
        <w:t>Transportation Research Part D: Transport and Environment</w:t>
      </w:r>
      <w:r w:rsidRPr="0022303F">
        <w:rPr>
          <w:rFonts w:asciiTheme="majorBidi" w:hAnsiTheme="majorBidi" w:cstheme="majorBidi"/>
          <w:sz w:val="24"/>
          <w:szCs w:val="24"/>
        </w:rPr>
        <w:t>, Volume 62, July 2018, Pages 372-385</w:t>
      </w:r>
    </w:p>
    <w:p w:rsidR="0022303F" w:rsidRPr="0022303F" w:rsidRDefault="0022303F" w:rsidP="0022303F">
      <w:pPr>
        <w:bidi w:val="0"/>
        <w:spacing w:before="120" w:after="120" w:line="300" w:lineRule="auto"/>
        <w:rPr>
          <w:rFonts w:asciiTheme="majorBidi" w:hAnsiTheme="majorBidi" w:cstheme="majorBidi"/>
          <w:sz w:val="24"/>
          <w:szCs w:val="24"/>
        </w:rPr>
      </w:pPr>
      <w:r w:rsidRPr="0022303F">
        <w:rPr>
          <w:rFonts w:asciiTheme="majorBidi" w:hAnsiTheme="majorBidi" w:cstheme="majorBidi"/>
          <w:sz w:val="24"/>
          <w:szCs w:val="24"/>
        </w:rPr>
        <w:t xml:space="preserve">Diamond, D., (2009), </w:t>
      </w:r>
      <w:proofErr w:type="gramStart"/>
      <w:r w:rsidRPr="0022303F">
        <w:rPr>
          <w:rFonts w:asciiTheme="majorBidi" w:hAnsiTheme="majorBidi" w:cstheme="majorBidi"/>
          <w:sz w:val="24"/>
          <w:szCs w:val="24"/>
        </w:rPr>
        <w:t>The</w:t>
      </w:r>
      <w:proofErr w:type="gramEnd"/>
      <w:r w:rsidRPr="0022303F">
        <w:rPr>
          <w:rFonts w:asciiTheme="majorBidi" w:hAnsiTheme="majorBidi" w:cstheme="majorBidi"/>
          <w:sz w:val="24"/>
          <w:szCs w:val="24"/>
        </w:rPr>
        <w:t xml:space="preserve"> impact of government incentives for hybrid-electric vehicles: Evidence from US states, </w:t>
      </w:r>
      <w:r w:rsidRPr="0022303F">
        <w:rPr>
          <w:rFonts w:asciiTheme="majorBidi" w:hAnsiTheme="majorBidi" w:cstheme="majorBidi"/>
          <w:i/>
          <w:iCs/>
          <w:sz w:val="24"/>
          <w:szCs w:val="24"/>
        </w:rPr>
        <w:t>Energy Policy</w:t>
      </w:r>
      <w:r w:rsidRPr="0022303F">
        <w:rPr>
          <w:rFonts w:asciiTheme="majorBidi" w:hAnsiTheme="majorBidi" w:cstheme="majorBidi"/>
          <w:sz w:val="24"/>
          <w:szCs w:val="24"/>
        </w:rPr>
        <w:t>, 37 (3), pp. 972-983.</w:t>
      </w:r>
    </w:p>
    <w:p w:rsidR="0022303F" w:rsidRPr="0022303F" w:rsidRDefault="0022303F" w:rsidP="0022303F">
      <w:pPr>
        <w:bidi w:val="0"/>
        <w:spacing w:before="120" w:after="120" w:line="300" w:lineRule="auto"/>
        <w:rPr>
          <w:rFonts w:asciiTheme="majorBidi" w:hAnsiTheme="majorBidi" w:cstheme="majorBidi"/>
          <w:sz w:val="24"/>
          <w:szCs w:val="24"/>
        </w:rPr>
      </w:pPr>
      <w:proofErr w:type="spellStart"/>
      <w:r w:rsidRPr="0022303F">
        <w:rPr>
          <w:rFonts w:asciiTheme="majorBidi" w:hAnsiTheme="majorBidi" w:cstheme="majorBidi"/>
          <w:sz w:val="24"/>
          <w:szCs w:val="24"/>
        </w:rPr>
        <w:t>Figenbaum</w:t>
      </w:r>
      <w:proofErr w:type="spellEnd"/>
      <w:r w:rsidRPr="0022303F">
        <w:rPr>
          <w:rFonts w:asciiTheme="majorBidi" w:hAnsiTheme="majorBidi" w:cstheme="majorBidi"/>
          <w:sz w:val="24"/>
          <w:szCs w:val="24"/>
        </w:rPr>
        <w:t xml:space="preserve">, E., and </w:t>
      </w:r>
      <w:proofErr w:type="spellStart"/>
      <w:r w:rsidRPr="0022303F">
        <w:rPr>
          <w:rFonts w:asciiTheme="majorBidi" w:hAnsiTheme="majorBidi" w:cstheme="majorBidi"/>
          <w:sz w:val="24"/>
          <w:szCs w:val="24"/>
        </w:rPr>
        <w:t>Kolbenstvedt</w:t>
      </w:r>
      <w:proofErr w:type="spellEnd"/>
      <w:r w:rsidRPr="0022303F">
        <w:rPr>
          <w:rFonts w:asciiTheme="majorBidi" w:hAnsiTheme="majorBidi" w:cstheme="majorBidi"/>
          <w:sz w:val="24"/>
          <w:szCs w:val="24"/>
        </w:rPr>
        <w:t xml:space="preserve">, M. (2016). Learning from Norwegian Battery Electric and Plug-in Hybrid Vehicle users. Retrieved from Institute of Transport </w:t>
      </w:r>
      <w:proofErr w:type="spellStart"/>
      <w:r w:rsidRPr="0022303F">
        <w:rPr>
          <w:rFonts w:asciiTheme="majorBidi" w:hAnsiTheme="majorBidi" w:cstheme="majorBidi"/>
          <w:sz w:val="24"/>
          <w:szCs w:val="24"/>
        </w:rPr>
        <w:t>Economoics</w:t>
      </w:r>
      <w:proofErr w:type="spellEnd"/>
      <w:r w:rsidRPr="0022303F">
        <w:rPr>
          <w:rFonts w:asciiTheme="majorBidi" w:hAnsiTheme="majorBidi" w:cstheme="majorBidi"/>
          <w:sz w:val="24"/>
          <w:szCs w:val="24"/>
        </w:rPr>
        <w:t>, Norwegian Centre for Transport Research: https://www.toi.no/getfile.php?mmfileid=43161</w:t>
      </w:r>
    </w:p>
    <w:p w:rsidR="0022303F" w:rsidRPr="0022303F" w:rsidRDefault="0022303F" w:rsidP="0022303F">
      <w:pPr>
        <w:bidi w:val="0"/>
        <w:spacing w:before="120" w:after="120" w:line="300" w:lineRule="auto"/>
        <w:rPr>
          <w:rFonts w:asciiTheme="majorBidi" w:hAnsiTheme="majorBidi" w:cstheme="majorBidi"/>
          <w:sz w:val="24"/>
          <w:szCs w:val="24"/>
        </w:rPr>
      </w:pPr>
      <w:r w:rsidRPr="0022303F">
        <w:rPr>
          <w:rFonts w:asciiTheme="majorBidi" w:hAnsiTheme="majorBidi" w:cstheme="majorBidi"/>
          <w:sz w:val="24"/>
          <w:szCs w:val="24"/>
        </w:rPr>
        <w:t>Finance and Planning Division, Israel Tax Authority. (2016). Taxation and selected data on the vehicle industry in Israel. Israel Tax Authority.</w:t>
      </w:r>
    </w:p>
    <w:p w:rsidR="0022303F" w:rsidRPr="0022303F" w:rsidRDefault="0022303F" w:rsidP="0022303F">
      <w:pPr>
        <w:bidi w:val="0"/>
        <w:spacing w:before="120" w:after="120" w:line="300" w:lineRule="auto"/>
        <w:rPr>
          <w:rFonts w:asciiTheme="majorBidi" w:hAnsiTheme="majorBidi" w:cstheme="majorBidi"/>
          <w:sz w:val="24"/>
          <w:szCs w:val="24"/>
        </w:rPr>
      </w:pPr>
      <w:proofErr w:type="spellStart"/>
      <w:r w:rsidRPr="0022303F">
        <w:rPr>
          <w:rFonts w:asciiTheme="majorBidi" w:hAnsiTheme="majorBidi" w:cstheme="majorBidi"/>
          <w:sz w:val="24"/>
          <w:szCs w:val="24"/>
        </w:rPr>
        <w:t>Gnann</w:t>
      </w:r>
      <w:proofErr w:type="spellEnd"/>
      <w:r w:rsidRPr="0022303F">
        <w:rPr>
          <w:rFonts w:asciiTheme="majorBidi" w:hAnsiTheme="majorBidi" w:cstheme="majorBidi"/>
          <w:sz w:val="24"/>
          <w:szCs w:val="24"/>
        </w:rPr>
        <w:t xml:space="preserve">, T., </w:t>
      </w:r>
      <w:proofErr w:type="spellStart"/>
      <w:r w:rsidRPr="0022303F">
        <w:rPr>
          <w:rFonts w:asciiTheme="majorBidi" w:hAnsiTheme="majorBidi" w:cstheme="majorBidi"/>
          <w:sz w:val="24"/>
          <w:szCs w:val="24"/>
        </w:rPr>
        <w:t>Plötz</w:t>
      </w:r>
      <w:proofErr w:type="spellEnd"/>
      <w:r w:rsidRPr="0022303F">
        <w:rPr>
          <w:rFonts w:asciiTheme="majorBidi" w:hAnsiTheme="majorBidi" w:cstheme="majorBidi"/>
          <w:sz w:val="24"/>
          <w:szCs w:val="24"/>
        </w:rPr>
        <w:t xml:space="preserve">, P., </w:t>
      </w:r>
      <w:proofErr w:type="spellStart"/>
      <w:r w:rsidRPr="0022303F">
        <w:rPr>
          <w:rFonts w:asciiTheme="majorBidi" w:hAnsiTheme="majorBidi" w:cstheme="majorBidi"/>
          <w:sz w:val="24"/>
          <w:szCs w:val="24"/>
        </w:rPr>
        <w:t>Funke</w:t>
      </w:r>
      <w:proofErr w:type="spellEnd"/>
      <w:r w:rsidRPr="0022303F">
        <w:rPr>
          <w:rFonts w:asciiTheme="majorBidi" w:hAnsiTheme="majorBidi" w:cstheme="majorBidi"/>
          <w:sz w:val="24"/>
          <w:szCs w:val="24"/>
        </w:rPr>
        <w:t xml:space="preserve">, S., and </w:t>
      </w:r>
      <w:proofErr w:type="spellStart"/>
      <w:r w:rsidRPr="0022303F">
        <w:rPr>
          <w:rFonts w:asciiTheme="majorBidi" w:hAnsiTheme="majorBidi" w:cstheme="majorBidi"/>
          <w:sz w:val="24"/>
          <w:szCs w:val="24"/>
        </w:rPr>
        <w:t>Wietschel</w:t>
      </w:r>
      <w:proofErr w:type="spellEnd"/>
      <w:r w:rsidRPr="0022303F">
        <w:rPr>
          <w:rFonts w:asciiTheme="majorBidi" w:hAnsiTheme="majorBidi" w:cstheme="majorBidi"/>
          <w:sz w:val="24"/>
          <w:szCs w:val="24"/>
        </w:rPr>
        <w:t>, M., (2015). What is the market potential of plug-in electric vehicles as commercial passenger cars? A case study from Germany</w:t>
      </w:r>
      <w:proofErr w:type="gramStart"/>
      <w:r w:rsidRPr="0022303F">
        <w:rPr>
          <w:rFonts w:asciiTheme="majorBidi" w:hAnsiTheme="majorBidi" w:cstheme="majorBidi"/>
          <w:sz w:val="24"/>
          <w:szCs w:val="24"/>
        </w:rPr>
        <w:t xml:space="preserve">,  </w:t>
      </w:r>
      <w:r w:rsidRPr="0022303F">
        <w:rPr>
          <w:rFonts w:asciiTheme="majorBidi" w:hAnsiTheme="majorBidi" w:cstheme="majorBidi"/>
          <w:i/>
          <w:iCs/>
          <w:sz w:val="24"/>
          <w:szCs w:val="24"/>
        </w:rPr>
        <w:t>Transportation</w:t>
      </w:r>
      <w:proofErr w:type="gramEnd"/>
      <w:r w:rsidRPr="0022303F">
        <w:rPr>
          <w:rFonts w:asciiTheme="majorBidi" w:hAnsiTheme="majorBidi" w:cstheme="majorBidi"/>
          <w:i/>
          <w:iCs/>
          <w:sz w:val="24"/>
          <w:szCs w:val="24"/>
        </w:rPr>
        <w:t xml:space="preserve"> Research Part D: Transport and Environment</w:t>
      </w:r>
      <w:r w:rsidRPr="0022303F">
        <w:rPr>
          <w:rFonts w:asciiTheme="majorBidi" w:hAnsiTheme="majorBidi" w:cstheme="majorBidi"/>
          <w:sz w:val="24"/>
          <w:szCs w:val="24"/>
        </w:rPr>
        <w:t>, 37, pp. 171-187.</w:t>
      </w:r>
    </w:p>
    <w:p w:rsidR="0022303F" w:rsidRPr="0022303F" w:rsidRDefault="0022303F" w:rsidP="0022303F">
      <w:pPr>
        <w:bidi w:val="0"/>
        <w:spacing w:before="120" w:after="120" w:line="300" w:lineRule="auto"/>
        <w:rPr>
          <w:rFonts w:asciiTheme="majorBidi" w:hAnsiTheme="majorBidi" w:cstheme="majorBidi"/>
          <w:sz w:val="24"/>
          <w:szCs w:val="24"/>
        </w:rPr>
      </w:pPr>
      <w:r w:rsidRPr="0022303F">
        <w:rPr>
          <w:rFonts w:asciiTheme="majorBidi" w:hAnsiTheme="majorBidi" w:cstheme="majorBidi"/>
          <w:sz w:val="24"/>
          <w:szCs w:val="24"/>
        </w:rPr>
        <w:t xml:space="preserve">Hawkins, T.R., </w:t>
      </w:r>
      <w:proofErr w:type="spellStart"/>
      <w:r w:rsidRPr="0022303F">
        <w:rPr>
          <w:rFonts w:asciiTheme="majorBidi" w:hAnsiTheme="majorBidi" w:cstheme="majorBidi"/>
          <w:sz w:val="24"/>
          <w:szCs w:val="24"/>
        </w:rPr>
        <w:t>Gausen</w:t>
      </w:r>
      <w:proofErr w:type="spellEnd"/>
      <w:r w:rsidRPr="0022303F">
        <w:rPr>
          <w:rFonts w:asciiTheme="majorBidi" w:hAnsiTheme="majorBidi" w:cstheme="majorBidi"/>
          <w:sz w:val="24"/>
          <w:szCs w:val="24"/>
        </w:rPr>
        <w:t xml:space="preserve">, O.M., and </w:t>
      </w:r>
      <w:proofErr w:type="spellStart"/>
      <w:r w:rsidRPr="0022303F">
        <w:rPr>
          <w:rFonts w:asciiTheme="majorBidi" w:hAnsiTheme="majorBidi" w:cstheme="majorBidi"/>
          <w:sz w:val="24"/>
          <w:szCs w:val="24"/>
        </w:rPr>
        <w:t>Strømman</w:t>
      </w:r>
      <w:proofErr w:type="spellEnd"/>
      <w:r w:rsidRPr="0022303F">
        <w:rPr>
          <w:rFonts w:asciiTheme="majorBidi" w:hAnsiTheme="majorBidi" w:cstheme="majorBidi"/>
          <w:sz w:val="24"/>
          <w:szCs w:val="24"/>
        </w:rPr>
        <w:t>, A.H., (2012). Environmental impacts of hybrid and electric vehicles-a review, International</w:t>
      </w:r>
      <w:r w:rsidRPr="0022303F">
        <w:rPr>
          <w:rFonts w:asciiTheme="majorBidi" w:hAnsiTheme="majorBidi" w:cstheme="majorBidi"/>
          <w:i/>
          <w:iCs/>
          <w:sz w:val="24"/>
          <w:szCs w:val="24"/>
        </w:rPr>
        <w:t xml:space="preserve"> Journal of Life Cycle Assessment,</w:t>
      </w:r>
      <w:r w:rsidRPr="0022303F">
        <w:rPr>
          <w:rFonts w:asciiTheme="majorBidi" w:hAnsiTheme="majorBidi" w:cstheme="majorBidi"/>
          <w:sz w:val="24"/>
          <w:szCs w:val="24"/>
        </w:rPr>
        <w:t xml:space="preserve"> 17 (8), pp. 997-1014.</w:t>
      </w:r>
    </w:p>
    <w:p w:rsidR="0022303F" w:rsidRPr="0022303F" w:rsidRDefault="0022303F" w:rsidP="0022303F">
      <w:pPr>
        <w:bidi w:val="0"/>
        <w:spacing w:before="120" w:after="120" w:line="300" w:lineRule="auto"/>
        <w:rPr>
          <w:rFonts w:asciiTheme="majorBidi" w:hAnsiTheme="majorBidi" w:cstheme="majorBidi"/>
          <w:sz w:val="24"/>
          <w:szCs w:val="24"/>
        </w:rPr>
      </w:pPr>
      <w:proofErr w:type="spellStart"/>
      <w:r w:rsidRPr="0022303F">
        <w:rPr>
          <w:rFonts w:asciiTheme="majorBidi" w:hAnsiTheme="majorBidi" w:cstheme="majorBidi"/>
          <w:sz w:val="24"/>
          <w:szCs w:val="24"/>
        </w:rPr>
        <w:t>Jochem</w:t>
      </w:r>
      <w:proofErr w:type="spellEnd"/>
      <w:r w:rsidRPr="0022303F">
        <w:rPr>
          <w:rFonts w:asciiTheme="majorBidi" w:hAnsiTheme="majorBidi" w:cstheme="majorBidi"/>
          <w:sz w:val="24"/>
          <w:szCs w:val="24"/>
        </w:rPr>
        <w:t xml:space="preserve">, P., Doll, C., and </w:t>
      </w:r>
      <w:proofErr w:type="spellStart"/>
      <w:r w:rsidRPr="0022303F">
        <w:rPr>
          <w:rFonts w:asciiTheme="majorBidi" w:hAnsiTheme="majorBidi" w:cstheme="majorBidi"/>
          <w:sz w:val="24"/>
          <w:szCs w:val="24"/>
        </w:rPr>
        <w:t>Fichtner</w:t>
      </w:r>
      <w:proofErr w:type="spellEnd"/>
      <w:r w:rsidRPr="0022303F">
        <w:rPr>
          <w:rFonts w:asciiTheme="majorBidi" w:hAnsiTheme="majorBidi" w:cstheme="majorBidi"/>
          <w:sz w:val="24"/>
          <w:szCs w:val="24"/>
        </w:rPr>
        <w:t xml:space="preserve">, W., (2016). External costs of electric vehicles, </w:t>
      </w:r>
      <w:r w:rsidRPr="0022303F">
        <w:rPr>
          <w:rFonts w:asciiTheme="majorBidi" w:hAnsiTheme="majorBidi" w:cstheme="majorBidi"/>
          <w:i/>
          <w:iCs/>
          <w:sz w:val="24"/>
          <w:szCs w:val="24"/>
        </w:rPr>
        <w:t>Transportation Research Part D: Transport and Environment</w:t>
      </w:r>
      <w:r w:rsidRPr="0022303F">
        <w:rPr>
          <w:rFonts w:asciiTheme="majorBidi" w:hAnsiTheme="majorBidi" w:cstheme="majorBidi"/>
          <w:sz w:val="24"/>
          <w:szCs w:val="24"/>
        </w:rPr>
        <w:t>, 42, pp. 60-76.</w:t>
      </w:r>
    </w:p>
    <w:p w:rsidR="0022303F" w:rsidRPr="0022303F" w:rsidRDefault="0022303F" w:rsidP="0022303F">
      <w:pPr>
        <w:bidi w:val="0"/>
        <w:spacing w:before="120" w:after="120" w:line="300" w:lineRule="auto"/>
        <w:rPr>
          <w:rFonts w:asciiTheme="majorBidi" w:hAnsiTheme="majorBidi" w:cstheme="majorBidi"/>
          <w:sz w:val="24"/>
          <w:szCs w:val="24"/>
        </w:rPr>
      </w:pPr>
      <w:proofErr w:type="spellStart"/>
      <w:r w:rsidRPr="0022303F">
        <w:rPr>
          <w:rFonts w:asciiTheme="majorBidi" w:hAnsiTheme="majorBidi" w:cstheme="majorBidi"/>
          <w:sz w:val="24"/>
          <w:szCs w:val="24"/>
        </w:rPr>
        <w:t>Jochem</w:t>
      </w:r>
      <w:proofErr w:type="spellEnd"/>
      <w:r w:rsidRPr="0022303F">
        <w:rPr>
          <w:rFonts w:asciiTheme="majorBidi" w:hAnsiTheme="majorBidi" w:cstheme="majorBidi"/>
          <w:sz w:val="24"/>
          <w:szCs w:val="24"/>
        </w:rPr>
        <w:t>, P.</w:t>
      </w:r>
      <w:proofErr w:type="gramStart"/>
      <w:r w:rsidRPr="0022303F">
        <w:rPr>
          <w:rFonts w:asciiTheme="majorBidi" w:hAnsiTheme="majorBidi" w:cstheme="majorBidi"/>
          <w:sz w:val="24"/>
          <w:szCs w:val="24"/>
        </w:rPr>
        <w:t>,  Gómez</w:t>
      </w:r>
      <w:proofErr w:type="gramEnd"/>
      <w:r w:rsidRPr="0022303F">
        <w:rPr>
          <w:rFonts w:asciiTheme="majorBidi" w:hAnsiTheme="majorBidi" w:cstheme="majorBidi"/>
          <w:sz w:val="24"/>
          <w:szCs w:val="24"/>
        </w:rPr>
        <w:t xml:space="preserve"> </w:t>
      </w:r>
      <w:proofErr w:type="spellStart"/>
      <w:r w:rsidRPr="0022303F">
        <w:rPr>
          <w:rFonts w:asciiTheme="majorBidi" w:hAnsiTheme="majorBidi" w:cstheme="majorBidi"/>
          <w:sz w:val="24"/>
          <w:szCs w:val="24"/>
        </w:rPr>
        <w:t>Vilchez</w:t>
      </w:r>
      <w:proofErr w:type="spellEnd"/>
      <w:r w:rsidRPr="0022303F">
        <w:rPr>
          <w:rFonts w:asciiTheme="majorBidi" w:hAnsiTheme="majorBidi" w:cstheme="majorBidi"/>
          <w:sz w:val="24"/>
          <w:szCs w:val="24"/>
        </w:rPr>
        <w:t xml:space="preserve">, J.J.,  </w:t>
      </w:r>
      <w:proofErr w:type="spellStart"/>
      <w:r w:rsidRPr="0022303F">
        <w:rPr>
          <w:rFonts w:asciiTheme="majorBidi" w:hAnsiTheme="majorBidi" w:cstheme="majorBidi"/>
          <w:sz w:val="24"/>
          <w:szCs w:val="24"/>
        </w:rPr>
        <w:t>Ensslen</w:t>
      </w:r>
      <w:proofErr w:type="spellEnd"/>
      <w:r w:rsidRPr="0022303F">
        <w:rPr>
          <w:rFonts w:asciiTheme="majorBidi" w:hAnsiTheme="majorBidi" w:cstheme="majorBidi"/>
          <w:sz w:val="24"/>
          <w:szCs w:val="24"/>
        </w:rPr>
        <w:t xml:space="preserve">, A.,  </w:t>
      </w:r>
      <w:proofErr w:type="spellStart"/>
      <w:r w:rsidRPr="0022303F">
        <w:rPr>
          <w:rFonts w:asciiTheme="majorBidi" w:hAnsiTheme="majorBidi" w:cstheme="majorBidi"/>
          <w:sz w:val="24"/>
          <w:szCs w:val="24"/>
        </w:rPr>
        <w:t>Schäuble</w:t>
      </w:r>
      <w:proofErr w:type="spellEnd"/>
      <w:r w:rsidRPr="0022303F">
        <w:rPr>
          <w:rFonts w:asciiTheme="majorBidi" w:hAnsiTheme="majorBidi" w:cstheme="majorBidi"/>
          <w:sz w:val="24"/>
          <w:szCs w:val="24"/>
        </w:rPr>
        <w:t xml:space="preserve">, J.,  and </w:t>
      </w:r>
      <w:proofErr w:type="spellStart"/>
      <w:r w:rsidRPr="0022303F">
        <w:rPr>
          <w:rFonts w:asciiTheme="majorBidi" w:hAnsiTheme="majorBidi" w:cstheme="majorBidi"/>
          <w:sz w:val="24"/>
          <w:szCs w:val="24"/>
        </w:rPr>
        <w:t>Fichtner</w:t>
      </w:r>
      <w:proofErr w:type="spellEnd"/>
      <w:r w:rsidRPr="0022303F">
        <w:rPr>
          <w:rFonts w:asciiTheme="majorBidi" w:hAnsiTheme="majorBidi" w:cstheme="majorBidi"/>
          <w:sz w:val="24"/>
          <w:szCs w:val="24"/>
        </w:rPr>
        <w:t xml:space="preserve">, W.  (2018). Methods for forecasting the market penetration of electric drivetrains in the passenger car market, </w:t>
      </w:r>
      <w:r w:rsidRPr="0022303F">
        <w:rPr>
          <w:rFonts w:asciiTheme="majorBidi" w:hAnsiTheme="majorBidi" w:cstheme="majorBidi"/>
          <w:i/>
          <w:iCs/>
          <w:sz w:val="24"/>
          <w:szCs w:val="24"/>
        </w:rPr>
        <w:t>Transport Reviews</w:t>
      </w:r>
      <w:r w:rsidRPr="0022303F">
        <w:rPr>
          <w:rFonts w:asciiTheme="majorBidi" w:hAnsiTheme="majorBidi" w:cstheme="majorBidi"/>
          <w:sz w:val="24"/>
          <w:szCs w:val="24"/>
        </w:rPr>
        <w:t>, 38 (3), pp. 322-348</w:t>
      </w:r>
    </w:p>
    <w:p w:rsidR="0022303F" w:rsidRPr="0022303F" w:rsidRDefault="0022303F" w:rsidP="0022303F">
      <w:pPr>
        <w:bidi w:val="0"/>
        <w:spacing w:before="120" w:after="120" w:line="300" w:lineRule="auto"/>
        <w:rPr>
          <w:rFonts w:asciiTheme="majorBidi" w:hAnsiTheme="majorBidi" w:cstheme="majorBidi"/>
          <w:sz w:val="24"/>
          <w:szCs w:val="24"/>
        </w:rPr>
      </w:pPr>
      <w:proofErr w:type="spellStart"/>
      <w:r w:rsidRPr="0022303F">
        <w:rPr>
          <w:rFonts w:asciiTheme="majorBidi" w:hAnsiTheme="majorBidi" w:cstheme="majorBidi"/>
          <w:sz w:val="24"/>
          <w:szCs w:val="24"/>
        </w:rPr>
        <w:t>Jooyoung</w:t>
      </w:r>
      <w:proofErr w:type="spellEnd"/>
      <w:r w:rsidRPr="0022303F">
        <w:rPr>
          <w:rFonts w:asciiTheme="majorBidi" w:hAnsiTheme="majorBidi" w:cstheme="majorBidi"/>
          <w:sz w:val="24"/>
          <w:szCs w:val="24"/>
        </w:rPr>
        <w:t xml:space="preserve">, K., </w:t>
      </w:r>
      <w:proofErr w:type="spellStart"/>
      <w:r w:rsidRPr="0022303F">
        <w:rPr>
          <w:rFonts w:asciiTheme="majorBidi" w:hAnsiTheme="majorBidi" w:cstheme="majorBidi"/>
          <w:sz w:val="24"/>
          <w:szCs w:val="24"/>
        </w:rPr>
        <w:t>Seungjae</w:t>
      </w:r>
      <w:proofErr w:type="spellEnd"/>
      <w:r w:rsidRPr="0022303F">
        <w:rPr>
          <w:rFonts w:asciiTheme="majorBidi" w:hAnsiTheme="majorBidi" w:cstheme="majorBidi"/>
          <w:sz w:val="24"/>
          <w:szCs w:val="24"/>
        </w:rPr>
        <w:t>, L., and Kwang, S. K. (2017). A study on the activation plan of electric taxi in Seoul. Cleaner Production, 83-93.</w:t>
      </w:r>
    </w:p>
    <w:p w:rsidR="0022303F" w:rsidRPr="0022303F" w:rsidRDefault="0022303F" w:rsidP="0022303F">
      <w:pPr>
        <w:bidi w:val="0"/>
        <w:spacing w:before="120" w:after="120" w:line="300" w:lineRule="auto"/>
        <w:rPr>
          <w:rFonts w:asciiTheme="majorBidi" w:hAnsiTheme="majorBidi" w:cstheme="majorBidi"/>
          <w:sz w:val="24"/>
          <w:szCs w:val="24"/>
        </w:rPr>
      </w:pPr>
      <w:proofErr w:type="spellStart"/>
      <w:r w:rsidRPr="0022303F">
        <w:rPr>
          <w:rFonts w:asciiTheme="majorBidi" w:hAnsiTheme="majorBidi" w:cstheme="majorBidi"/>
          <w:sz w:val="24"/>
          <w:szCs w:val="24"/>
        </w:rPr>
        <w:lastRenderedPageBreak/>
        <w:t>Kontou</w:t>
      </w:r>
      <w:proofErr w:type="spellEnd"/>
      <w:r w:rsidRPr="0022303F">
        <w:rPr>
          <w:rFonts w:asciiTheme="majorBidi" w:hAnsiTheme="majorBidi" w:cstheme="majorBidi"/>
          <w:sz w:val="24"/>
          <w:szCs w:val="24"/>
        </w:rPr>
        <w:t xml:space="preserve">, E., Yin, Y., Lin, Z., and He, F., (2017). </w:t>
      </w:r>
      <w:proofErr w:type="gramStart"/>
      <w:r w:rsidRPr="0022303F">
        <w:rPr>
          <w:rFonts w:asciiTheme="majorBidi" w:hAnsiTheme="majorBidi" w:cstheme="majorBidi"/>
          <w:sz w:val="24"/>
          <w:szCs w:val="24"/>
        </w:rPr>
        <w:t>socially</w:t>
      </w:r>
      <w:proofErr w:type="gramEnd"/>
      <w:r w:rsidRPr="0022303F">
        <w:rPr>
          <w:rFonts w:asciiTheme="majorBidi" w:hAnsiTheme="majorBidi" w:cstheme="majorBidi"/>
          <w:sz w:val="24"/>
          <w:szCs w:val="24"/>
        </w:rPr>
        <w:t xml:space="preserve"> optimal replacement of conventional with electric vehicles for the US household fleet, </w:t>
      </w:r>
      <w:r w:rsidRPr="0022303F">
        <w:rPr>
          <w:rFonts w:asciiTheme="majorBidi" w:hAnsiTheme="majorBidi" w:cstheme="majorBidi"/>
          <w:i/>
          <w:iCs/>
          <w:sz w:val="24"/>
          <w:szCs w:val="24"/>
        </w:rPr>
        <w:t>International Journal of Sustainable Transportation</w:t>
      </w:r>
      <w:r w:rsidRPr="0022303F">
        <w:rPr>
          <w:rFonts w:asciiTheme="majorBidi" w:hAnsiTheme="majorBidi" w:cstheme="majorBidi"/>
          <w:sz w:val="24"/>
          <w:szCs w:val="24"/>
        </w:rPr>
        <w:t>, 11 (10), pp. 749-763.</w:t>
      </w:r>
    </w:p>
    <w:p w:rsidR="0022303F" w:rsidRPr="0022303F" w:rsidRDefault="0022303F" w:rsidP="0022303F">
      <w:pPr>
        <w:bidi w:val="0"/>
        <w:spacing w:before="120" w:after="120" w:line="300" w:lineRule="auto"/>
        <w:rPr>
          <w:rFonts w:asciiTheme="majorBidi" w:hAnsiTheme="majorBidi" w:cstheme="majorBidi"/>
          <w:sz w:val="24"/>
          <w:szCs w:val="24"/>
        </w:rPr>
      </w:pPr>
      <w:r w:rsidRPr="0022303F">
        <w:rPr>
          <w:rFonts w:asciiTheme="majorBidi" w:hAnsiTheme="majorBidi" w:cstheme="majorBidi"/>
          <w:sz w:val="24"/>
          <w:szCs w:val="24"/>
        </w:rPr>
        <w:t xml:space="preserve">Lavee, D. and Becker, N., "A cost benefit analysis of accelerated vehicle retirement program", </w:t>
      </w:r>
      <w:r w:rsidRPr="0022303F">
        <w:rPr>
          <w:rFonts w:asciiTheme="majorBidi" w:hAnsiTheme="majorBidi" w:cstheme="majorBidi"/>
          <w:i/>
          <w:iCs/>
          <w:sz w:val="24"/>
          <w:szCs w:val="24"/>
        </w:rPr>
        <w:t xml:space="preserve">journal of Environmental planning and management. </w:t>
      </w:r>
      <w:proofErr w:type="gramStart"/>
      <w:r w:rsidRPr="0022303F">
        <w:rPr>
          <w:rFonts w:asciiTheme="majorBidi" w:hAnsiTheme="majorBidi" w:cstheme="majorBidi"/>
          <w:sz w:val="24"/>
          <w:szCs w:val="24"/>
        </w:rPr>
        <w:t>2009</w:t>
      </w:r>
      <w:proofErr w:type="gramEnd"/>
      <w:r w:rsidRPr="0022303F">
        <w:rPr>
          <w:rFonts w:asciiTheme="majorBidi" w:hAnsiTheme="majorBidi" w:cstheme="majorBidi"/>
          <w:sz w:val="24"/>
          <w:szCs w:val="24"/>
        </w:rPr>
        <w:t>, Vol. 52(6), pp 777-795.</w:t>
      </w:r>
      <w:r w:rsidRPr="0022303F">
        <w:rPr>
          <w:rFonts w:asciiTheme="majorBidi" w:hAnsiTheme="majorBidi" w:cstheme="majorBidi"/>
          <w:i/>
          <w:iCs/>
          <w:sz w:val="24"/>
          <w:szCs w:val="24"/>
        </w:rPr>
        <w:t xml:space="preserve"> </w:t>
      </w:r>
    </w:p>
    <w:p w:rsidR="0022303F" w:rsidRPr="0022303F" w:rsidRDefault="0022303F" w:rsidP="0022303F">
      <w:pPr>
        <w:bidi w:val="0"/>
        <w:spacing w:before="120" w:after="120" w:line="300" w:lineRule="auto"/>
        <w:rPr>
          <w:rFonts w:asciiTheme="majorBidi" w:hAnsiTheme="majorBidi" w:cstheme="majorBidi"/>
          <w:sz w:val="24"/>
          <w:szCs w:val="24"/>
        </w:rPr>
      </w:pPr>
      <w:r w:rsidRPr="0022303F">
        <w:rPr>
          <w:rFonts w:asciiTheme="majorBidi" w:hAnsiTheme="majorBidi" w:cstheme="majorBidi"/>
          <w:sz w:val="24"/>
          <w:szCs w:val="24"/>
        </w:rPr>
        <w:t xml:space="preserve">Lavee, D., Moshe - </w:t>
      </w:r>
      <w:proofErr w:type="spellStart"/>
      <w:r w:rsidRPr="0022303F">
        <w:rPr>
          <w:rFonts w:asciiTheme="majorBidi" w:hAnsiTheme="majorBidi" w:cstheme="majorBidi"/>
          <w:sz w:val="24"/>
          <w:szCs w:val="24"/>
        </w:rPr>
        <w:t>Jantzis</w:t>
      </w:r>
      <w:proofErr w:type="spellEnd"/>
      <w:r w:rsidRPr="0022303F">
        <w:rPr>
          <w:rFonts w:asciiTheme="majorBidi" w:hAnsiTheme="majorBidi" w:cstheme="majorBidi"/>
          <w:sz w:val="24"/>
          <w:szCs w:val="24"/>
        </w:rPr>
        <w:t xml:space="preserve">, A. and Berman, I. (2014). "Accelerated vehicle retirement program: estimating the optimal incentive payment in Israel", </w:t>
      </w:r>
      <w:r w:rsidRPr="0022303F">
        <w:rPr>
          <w:rFonts w:asciiTheme="majorBidi" w:hAnsiTheme="majorBidi" w:cstheme="majorBidi"/>
          <w:i/>
          <w:iCs/>
          <w:sz w:val="24"/>
          <w:szCs w:val="24"/>
        </w:rPr>
        <w:t>Transportation Research Part D: Transport and Environment</w:t>
      </w:r>
      <w:r w:rsidRPr="0022303F">
        <w:rPr>
          <w:rFonts w:asciiTheme="majorBidi" w:hAnsiTheme="majorBidi" w:cstheme="majorBidi"/>
          <w:sz w:val="24"/>
          <w:szCs w:val="24"/>
        </w:rPr>
        <w:t>. Vol 26, pp 1-9.</w:t>
      </w:r>
    </w:p>
    <w:p w:rsidR="0022303F" w:rsidRPr="0022303F" w:rsidRDefault="0022303F" w:rsidP="0022303F">
      <w:pPr>
        <w:bidi w:val="0"/>
        <w:spacing w:before="120" w:after="120" w:line="300" w:lineRule="auto"/>
        <w:rPr>
          <w:rFonts w:asciiTheme="majorBidi" w:hAnsiTheme="majorBidi" w:cstheme="majorBidi"/>
          <w:sz w:val="24"/>
          <w:szCs w:val="24"/>
        </w:rPr>
      </w:pPr>
      <w:r w:rsidRPr="0022303F">
        <w:rPr>
          <w:rFonts w:asciiTheme="majorBidi" w:hAnsiTheme="majorBidi" w:cstheme="majorBidi"/>
          <w:sz w:val="24"/>
          <w:szCs w:val="24"/>
        </w:rPr>
        <w:t xml:space="preserve">Lavee, D. and </w:t>
      </w:r>
      <w:proofErr w:type="spellStart"/>
      <w:r w:rsidRPr="0022303F">
        <w:rPr>
          <w:rFonts w:asciiTheme="majorBidi" w:hAnsiTheme="majorBidi" w:cstheme="majorBidi"/>
          <w:sz w:val="24"/>
          <w:szCs w:val="24"/>
        </w:rPr>
        <w:t>Parsha</w:t>
      </w:r>
      <w:proofErr w:type="spellEnd"/>
      <w:r w:rsidRPr="0022303F">
        <w:rPr>
          <w:rFonts w:asciiTheme="majorBidi" w:hAnsiTheme="majorBidi" w:cstheme="majorBidi"/>
          <w:sz w:val="24"/>
          <w:szCs w:val="24"/>
        </w:rPr>
        <w:t xml:space="preserve"> A., (2018). "Review of Policy Tools for Encouragement of Plug-in Electric Vehicles Use", </w:t>
      </w:r>
      <w:r w:rsidRPr="0022303F">
        <w:rPr>
          <w:rFonts w:asciiTheme="majorBidi" w:hAnsiTheme="majorBidi" w:cstheme="majorBidi"/>
          <w:i/>
          <w:iCs/>
          <w:sz w:val="24"/>
          <w:szCs w:val="24"/>
        </w:rPr>
        <w:t>Journal of Environmental Assessment Policy and Management.</w:t>
      </w:r>
      <w:r w:rsidRPr="0022303F">
        <w:rPr>
          <w:rFonts w:asciiTheme="majorBidi" w:hAnsiTheme="majorBidi" w:cstheme="majorBidi"/>
          <w:sz w:val="24"/>
          <w:szCs w:val="24"/>
        </w:rPr>
        <w:t xml:space="preserve"> In review. </w:t>
      </w:r>
    </w:p>
    <w:p w:rsidR="0022303F" w:rsidRPr="0022303F" w:rsidRDefault="0022303F" w:rsidP="0022303F">
      <w:pPr>
        <w:bidi w:val="0"/>
        <w:spacing w:before="120" w:after="120" w:line="300" w:lineRule="auto"/>
        <w:rPr>
          <w:rFonts w:asciiTheme="majorBidi" w:hAnsiTheme="majorBidi" w:cstheme="majorBidi"/>
          <w:sz w:val="24"/>
          <w:szCs w:val="24"/>
        </w:rPr>
      </w:pPr>
      <w:r w:rsidRPr="0022303F">
        <w:rPr>
          <w:rFonts w:asciiTheme="majorBidi" w:hAnsiTheme="majorBidi" w:cstheme="majorBidi"/>
          <w:sz w:val="24"/>
          <w:szCs w:val="24"/>
        </w:rPr>
        <w:t>Ma, S.-</w:t>
      </w:r>
      <w:proofErr w:type="spellStart"/>
      <w:r w:rsidRPr="0022303F">
        <w:rPr>
          <w:rFonts w:asciiTheme="majorBidi" w:hAnsiTheme="majorBidi" w:cstheme="majorBidi"/>
          <w:sz w:val="24"/>
          <w:szCs w:val="24"/>
        </w:rPr>
        <w:t>C.a</w:t>
      </w:r>
      <w:proofErr w:type="spellEnd"/>
      <w:proofErr w:type="gramStart"/>
      <w:r w:rsidRPr="0022303F">
        <w:rPr>
          <w:rFonts w:asciiTheme="majorBidi" w:hAnsiTheme="majorBidi" w:cstheme="majorBidi"/>
          <w:sz w:val="24"/>
          <w:szCs w:val="24"/>
        </w:rPr>
        <w:t>,  Fan</w:t>
      </w:r>
      <w:proofErr w:type="gramEnd"/>
      <w:r w:rsidRPr="0022303F">
        <w:rPr>
          <w:rFonts w:asciiTheme="majorBidi" w:hAnsiTheme="majorBidi" w:cstheme="majorBidi"/>
          <w:sz w:val="24"/>
          <w:szCs w:val="24"/>
        </w:rPr>
        <w:t xml:space="preserve">, </w:t>
      </w:r>
      <w:proofErr w:type="spellStart"/>
      <w:r w:rsidRPr="0022303F">
        <w:rPr>
          <w:rFonts w:asciiTheme="majorBidi" w:hAnsiTheme="majorBidi" w:cstheme="majorBidi"/>
          <w:sz w:val="24"/>
          <w:szCs w:val="24"/>
        </w:rPr>
        <w:t>Y.b</w:t>
      </w:r>
      <w:proofErr w:type="spellEnd"/>
      <w:r w:rsidRPr="0022303F">
        <w:rPr>
          <w:rFonts w:asciiTheme="majorBidi" w:hAnsiTheme="majorBidi" w:cstheme="majorBidi"/>
          <w:sz w:val="24"/>
          <w:szCs w:val="24"/>
        </w:rPr>
        <w:t xml:space="preserve">,  and Feng, </w:t>
      </w:r>
      <w:proofErr w:type="spellStart"/>
      <w:r w:rsidRPr="0022303F">
        <w:rPr>
          <w:rFonts w:asciiTheme="majorBidi" w:hAnsiTheme="majorBidi" w:cstheme="majorBidi"/>
          <w:sz w:val="24"/>
          <w:szCs w:val="24"/>
        </w:rPr>
        <w:t>L.a</w:t>
      </w:r>
      <w:proofErr w:type="spellEnd"/>
      <w:r w:rsidRPr="0022303F">
        <w:rPr>
          <w:rFonts w:asciiTheme="majorBidi" w:hAnsiTheme="majorBidi" w:cstheme="majorBidi"/>
          <w:sz w:val="24"/>
          <w:szCs w:val="24"/>
        </w:rPr>
        <w:t xml:space="preserve"> (2017). An evaluation of government incentives for new energy vehicles in China focusing on vehicle purchasing restrictions, </w:t>
      </w:r>
      <w:r w:rsidRPr="0022303F">
        <w:rPr>
          <w:rFonts w:asciiTheme="majorBidi" w:hAnsiTheme="majorBidi" w:cstheme="majorBidi"/>
          <w:i/>
          <w:iCs/>
          <w:sz w:val="24"/>
          <w:szCs w:val="24"/>
        </w:rPr>
        <w:t>Energy Policy</w:t>
      </w:r>
      <w:r w:rsidRPr="0022303F">
        <w:rPr>
          <w:rFonts w:asciiTheme="majorBidi" w:hAnsiTheme="majorBidi" w:cstheme="majorBidi"/>
          <w:sz w:val="24"/>
          <w:szCs w:val="24"/>
        </w:rPr>
        <w:t>, 110, pp. 609-618</w:t>
      </w:r>
    </w:p>
    <w:p w:rsidR="00EF3F1C" w:rsidRDefault="0022303F" w:rsidP="0022303F">
      <w:pPr>
        <w:bidi w:val="0"/>
      </w:pPr>
      <w:r w:rsidRPr="0022303F">
        <w:rPr>
          <w:rFonts w:asciiTheme="majorBidi" w:hAnsiTheme="majorBidi" w:cstheme="majorBidi"/>
          <w:sz w:val="24"/>
          <w:szCs w:val="24"/>
        </w:rPr>
        <w:t>Ministry</w:t>
      </w:r>
    </w:p>
    <w:sectPr w:rsidR="00EF3F1C" w:rsidSect="0033275D">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267C" w:rsidRDefault="00C1267C" w:rsidP="0022303F">
      <w:pPr>
        <w:spacing w:after="0" w:line="240" w:lineRule="auto"/>
      </w:pPr>
      <w:r>
        <w:separator/>
      </w:r>
    </w:p>
  </w:endnote>
  <w:endnote w:type="continuationSeparator" w:id="0">
    <w:p w:rsidR="00C1267C" w:rsidRDefault="00C1267C" w:rsidP="00223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267C" w:rsidRDefault="00C1267C" w:rsidP="0022303F">
      <w:pPr>
        <w:spacing w:after="0" w:line="240" w:lineRule="auto"/>
      </w:pPr>
      <w:r>
        <w:separator/>
      </w:r>
    </w:p>
  </w:footnote>
  <w:footnote w:type="continuationSeparator" w:id="0">
    <w:p w:rsidR="00C1267C" w:rsidRDefault="00C1267C" w:rsidP="0022303F">
      <w:pPr>
        <w:spacing w:after="0" w:line="240" w:lineRule="auto"/>
      </w:pPr>
      <w:r>
        <w:continuationSeparator/>
      </w:r>
    </w:p>
  </w:footnote>
  <w:footnote w:id="1">
    <w:p w:rsidR="0022303F" w:rsidRDefault="0022303F" w:rsidP="0022303F">
      <w:pPr>
        <w:pStyle w:val="a3"/>
      </w:pPr>
      <w:r>
        <w:rPr>
          <w:rStyle w:val="a5"/>
        </w:rPr>
        <w:footnoteRef/>
      </w:r>
      <w:r>
        <w:t xml:space="preserve"> Tel Hai collage, Department of economics and business, Faculty of humanities. </w:t>
      </w:r>
    </w:p>
  </w:footnote>
  <w:footnote w:id="2">
    <w:p w:rsidR="0022303F" w:rsidRDefault="0022303F" w:rsidP="0022303F">
      <w:pPr>
        <w:pStyle w:val="a3"/>
      </w:pPr>
      <w:r>
        <w:rPr>
          <w:rStyle w:val="a5"/>
        </w:rPr>
        <w:footnoteRef/>
      </w:r>
      <w:r>
        <w:t xml:space="preserve"> Pareto group L.T.D, </w:t>
      </w:r>
      <w:proofErr w:type="spellStart"/>
      <w:r>
        <w:t>Natanya</w:t>
      </w:r>
      <w:proofErr w:type="spellEnd"/>
      <w:r>
        <w:t>.</w:t>
      </w:r>
    </w:p>
  </w:footnote>
  <w:footnote w:id="3">
    <w:p w:rsidR="0022303F" w:rsidRDefault="0022303F" w:rsidP="0022303F">
      <w:pPr>
        <w:pStyle w:val="a3"/>
      </w:pPr>
      <w:r>
        <w:rPr>
          <w:rStyle w:val="a5"/>
        </w:rPr>
        <w:footnoteRef/>
      </w:r>
      <w:r>
        <w:t xml:space="preserve"> Pareto group L.T.D, Tal </w:t>
      </w:r>
      <w:proofErr w:type="spellStart"/>
      <w:r>
        <w:t>aviv</w:t>
      </w:r>
      <w:proofErr w:type="spellEnd"/>
      <w: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1A7"/>
    <w:rsid w:val="0022303F"/>
    <w:rsid w:val="0033275D"/>
    <w:rsid w:val="00C1267C"/>
    <w:rsid w:val="00EE61A7"/>
    <w:rsid w:val="00EF3F1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008293-5835-44DB-9F15-6E0D1877B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22303F"/>
    <w:pPr>
      <w:bidi w:val="0"/>
      <w:spacing w:after="0" w:line="240" w:lineRule="auto"/>
      <w:jc w:val="both"/>
    </w:pPr>
    <w:rPr>
      <w:rFonts w:cstheme="minorHAnsi"/>
      <w:sz w:val="20"/>
      <w:szCs w:val="20"/>
    </w:rPr>
  </w:style>
  <w:style w:type="character" w:customStyle="1" w:styleId="a4">
    <w:name w:val="טקסט הערת שוליים תו"/>
    <w:basedOn w:val="a0"/>
    <w:link w:val="a3"/>
    <w:uiPriority w:val="99"/>
    <w:rsid w:val="0022303F"/>
    <w:rPr>
      <w:rFonts w:cstheme="minorHAnsi"/>
      <w:sz w:val="20"/>
      <w:szCs w:val="20"/>
    </w:rPr>
  </w:style>
  <w:style w:type="character" w:styleId="a5">
    <w:name w:val="footnote reference"/>
    <w:basedOn w:val="a0"/>
    <w:uiPriority w:val="99"/>
    <w:semiHidden/>
    <w:unhideWhenUsed/>
    <w:rsid w:val="002230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398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878</Words>
  <Characters>4395</Characters>
  <Application>Microsoft Office Word</Application>
  <DocSecurity>0</DocSecurity>
  <Lines>36</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2018-05-06T12:36:00Z</dcterms:created>
  <dcterms:modified xsi:type="dcterms:W3CDTF">2018-05-06T12:36:00Z</dcterms:modified>
</cp:coreProperties>
</file>