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316" w:rsidRDefault="0096368A" w:rsidP="00805316">
      <w:pPr>
        <w:keepNext/>
        <w:keepLines/>
        <w:spacing w:after="0" w:line="360" w:lineRule="auto"/>
        <w:jc w:val="center"/>
        <w:outlineLvl w:val="0"/>
        <w:rPr>
          <w:rFonts w:ascii="Times New Roman" w:eastAsiaTheme="majorEastAsia" w:hAnsi="Times New Roman" w:cs="Times New Roman"/>
          <w:b/>
          <w:bCs/>
          <w:color w:val="365F91" w:themeColor="accent1" w:themeShade="BF"/>
          <w:sz w:val="24"/>
          <w:szCs w:val="24"/>
        </w:rPr>
      </w:pPr>
      <w:bookmarkStart w:id="0" w:name="_Toc451950269"/>
      <w:r w:rsidRPr="00F74D25">
        <w:rPr>
          <w:rFonts w:ascii="Times New Roman" w:eastAsiaTheme="majorEastAsia" w:hAnsi="Times New Roman" w:cs="Times New Roman"/>
          <w:b/>
          <w:bCs/>
          <w:color w:val="365F91" w:themeColor="accent1" w:themeShade="BF"/>
          <w:sz w:val="24"/>
          <w:szCs w:val="24"/>
        </w:rPr>
        <w:t>Gender based impacts of climate change and adaptation strategies</w:t>
      </w:r>
      <w:r w:rsidR="00805316">
        <w:rPr>
          <w:rFonts w:ascii="Times New Roman" w:eastAsiaTheme="majorEastAsia" w:hAnsi="Times New Roman" w:cs="Times New Roman"/>
          <w:b/>
          <w:bCs/>
          <w:color w:val="365F91" w:themeColor="accent1" w:themeShade="BF"/>
          <w:sz w:val="24"/>
          <w:szCs w:val="24"/>
        </w:rPr>
        <w:t>.</w:t>
      </w:r>
      <w:r w:rsidR="00E46355" w:rsidRPr="00F74D25">
        <w:rPr>
          <w:rFonts w:ascii="Times New Roman" w:eastAsiaTheme="majorEastAsia" w:hAnsi="Times New Roman" w:cs="Times New Roman"/>
          <w:b/>
          <w:bCs/>
          <w:color w:val="365F91" w:themeColor="accent1" w:themeShade="BF"/>
          <w:sz w:val="24"/>
          <w:szCs w:val="24"/>
        </w:rPr>
        <w:t xml:space="preserve"> </w:t>
      </w:r>
      <w:r w:rsidR="00805316" w:rsidRPr="00805316">
        <w:rPr>
          <w:rFonts w:ascii="Times New Roman" w:eastAsiaTheme="majorEastAsia" w:hAnsi="Times New Roman" w:cs="Times New Roman"/>
          <w:b/>
          <w:bCs/>
          <w:color w:val="365F91" w:themeColor="accent1" w:themeShade="BF"/>
          <w:sz w:val="24"/>
          <w:szCs w:val="24"/>
        </w:rPr>
        <w:t xml:space="preserve">The case of Raya </w:t>
      </w:r>
      <w:proofErr w:type="spellStart"/>
      <w:r w:rsidR="00805316" w:rsidRPr="00805316">
        <w:rPr>
          <w:rFonts w:ascii="Times New Roman" w:eastAsiaTheme="majorEastAsia" w:hAnsi="Times New Roman" w:cs="Times New Roman"/>
          <w:b/>
          <w:bCs/>
          <w:color w:val="365F91" w:themeColor="accent1" w:themeShade="BF"/>
          <w:sz w:val="24"/>
          <w:szCs w:val="24"/>
        </w:rPr>
        <w:t>Azebo</w:t>
      </w:r>
      <w:proofErr w:type="spellEnd"/>
      <w:r w:rsidR="00805316" w:rsidRPr="00805316">
        <w:rPr>
          <w:rFonts w:ascii="Times New Roman" w:eastAsiaTheme="majorEastAsia" w:hAnsi="Times New Roman" w:cs="Times New Roman"/>
          <w:b/>
          <w:bCs/>
          <w:color w:val="365F91" w:themeColor="accent1" w:themeShade="BF"/>
          <w:sz w:val="24"/>
          <w:szCs w:val="24"/>
        </w:rPr>
        <w:t xml:space="preserve"> district, </w:t>
      </w:r>
      <w:proofErr w:type="spellStart"/>
      <w:r w:rsidR="00805316" w:rsidRPr="00805316">
        <w:rPr>
          <w:rFonts w:ascii="Times New Roman" w:eastAsiaTheme="majorEastAsia" w:hAnsi="Times New Roman" w:cs="Times New Roman"/>
          <w:b/>
          <w:bCs/>
          <w:color w:val="365F91" w:themeColor="accent1" w:themeShade="BF"/>
          <w:sz w:val="24"/>
          <w:szCs w:val="24"/>
        </w:rPr>
        <w:t>Tigray</w:t>
      </w:r>
      <w:proofErr w:type="spellEnd"/>
      <w:r w:rsidR="00805316" w:rsidRPr="00805316">
        <w:rPr>
          <w:rFonts w:ascii="Times New Roman" w:eastAsiaTheme="majorEastAsia" w:hAnsi="Times New Roman" w:cs="Times New Roman"/>
          <w:b/>
          <w:bCs/>
          <w:color w:val="365F91" w:themeColor="accent1" w:themeShade="BF"/>
          <w:sz w:val="24"/>
          <w:szCs w:val="24"/>
        </w:rPr>
        <w:t xml:space="preserve">, Ethiopia </w:t>
      </w:r>
    </w:p>
    <w:p w:rsidR="00E46355" w:rsidRPr="00F74D25" w:rsidRDefault="00805316" w:rsidP="00F74D25">
      <w:pPr>
        <w:keepNext/>
        <w:keepLines/>
        <w:spacing w:after="0" w:line="360" w:lineRule="auto"/>
        <w:jc w:val="center"/>
        <w:outlineLvl w:val="0"/>
        <w:rPr>
          <w:rFonts w:ascii="Times New Roman" w:eastAsiaTheme="majorEastAsia" w:hAnsi="Times New Roman" w:cs="Times New Roman"/>
          <w:b/>
          <w:bCs/>
          <w:color w:val="365F91" w:themeColor="accent1" w:themeShade="BF"/>
          <w:sz w:val="24"/>
          <w:szCs w:val="24"/>
        </w:rPr>
      </w:pPr>
      <w:r>
        <w:rPr>
          <w:rFonts w:ascii="Times New Roman" w:eastAsiaTheme="majorEastAsia" w:hAnsi="Times New Roman" w:cs="Times New Roman"/>
          <w:b/>
          <w:bCs/>
          <w:color w:val="365F91" w:themeColor="accent1" w:themeShade="BF"/>
          <w:sz w:val="24"/>
          <w:szCs w:val="24"/>
        </w:rPr>
        <w:t xml:space="preserve">By Merry </w:t>
      </w:r>
      <w:proofErr w:type="spellStart"/>
      <w:r w:rsidR="00E46355" w:rsidRPr="00F74D25">
        <w:rPr>
          <w:rFonts w:ascii="Times New Roman" w:eastAsiaTheme="majorEastAsia" w:hAnsi="Times New Roman" w:cs="Times New Roman"/>
          <w:b/>
          <w:bCs/>
          <w:color w:val="365F91" w:themeColor="accent1" w:themeShade="BF"/>
          <w:sz w:val="24"/>
          <w:szCs w:val="24"/>
        </w:rPr>
        <w:t>N</w:t>
      </w:r>
      <w:r>
        <w:rPr>
          <w:rFonts w:ascii="Times New Roman" w:eastAsiaTheme="majorEastAsia" w:hAnsi="Times New Roman" w:cs="Times New Roman"/>
          <w:b/>
          <w:bCs/>
          <w:color w:val="365F91" w:themeColor="accent1" w:themeShade="BF"/>
          <w:sz w:val="24"/>
          <w:szCs w:val="24"/>
        </w:rPr>
        <w:t>egasi</w:t>
      </w:r>
      <w:proofErr w:type="spellEnd"/>
    </w:p>
    <w:p w:rsidR="00F74D25" w:rsidRPr="00F74D25" w:rsidRDefault="00024535" w:rsidP="00805316">
      <w:pPr>
        <w:keepNext/>
        <w:keepLines/>
        <w:spacing w:after="0" w:line="360" w:lineRule="auto"/>
        <w:jc w:val="center"/>
        <w:outlineLvl w:val="0"/>
        <w:rPr>
          <w:rFonts w:ascii="Times New Roman" w:eastAsiaTheme="majorEastAsia" w:hAnsi="Times New Roman" w:cs="Times New Roman"/>
          <w:b/>
          <w:bCs/>
          <w:color w:val="365F91" w:themeColor="accent1" w:themeShade="BF"/>
          <w:sz w:val="24"/>
          <w:szCs w:val="24"/>
        </w:rPr>
      </w:pPr>
      <w:r>
        <w:rPr>
          <w:rFonts w:ascii="Times New Roman" w:eastAsiaTheme="majorEastAsia" w:hAnsi="Times New Roman" w:cs="Times New Roman"/>
          <w:b/>
          <w:bCs/>
          <w:color w:val="365F91" w:themeColor="accent1" w:themeShade="BF"/>
          <w:sz w:val="24"/>
          <w:szCs w:val="24"/>
        </w:rPr>
        <w:t>Collage of Dry land Agriculture and Natural Resource</w:t>
      </w:r>
      <w:r w:rsidR="00E46355" w:rsidRPr="00F74D25">
        <w:rPr>
          <w:rFonts w:ascii="Times New Roman" w:eastAsiaTheme="majorEastAsia" w:hAnsi="Times New Roman" w:cs="Times New Roman"/>
          <w:b/>
          <w:bCs/>
          <w:color w:val="365F91" w:themeColor="accent1" w:themeShade="BF"/>
          <w:sz w:val="24"/>
          <w:szCs w:val="24"/>
        </w:rPr>
        <w:t xml:space="preserve">, </w:t>
      </w:r>
      <w:proofErr w:type="spellStart"/>
      <w:r w:rsidR="00E46355" w:rsidRPr="00F74D25">
        <w:rPr>
          <w:rFonts w:ascii="Times New Roman" w:eastAsiaTheme="majorEastAsia" w:hAnsi="Times New Roman" w:cs="Times New Roman"/>
          <w:b/>
          <w:bCs/>
          <w:color w:val="365F91" w:themeColor="accent1" w:themeShade="BF"/>
          <w:sz w:val="24"/>
          <w:szCs w:val="24"/>
        </w:rPr>
        <w:t>Mekelle</w:t>
      </w:r>
      <w:proofErr w:type="spellEnd"/>
      <w:r w:rsidR="00E46355" w:rsidRPr="00F74D25">
        <w:rPr>
          <w:rFonts w:ascii="Times New Roman" w:eastAsiaTheme="majorEastAsia" w:hAnsi="Times New Roman" w:cs="Times New Roman"/>
          <w:b/>
          <w:bCs/>
          <w:color w:val="365F91" w:themeColor="accent1" w:themeShade="BF"/>
          <w:sz w:val="24"/>
          <w:szCs w:val="24"/>
        </w:rPr>
        <w:t xml:space="preserve"> University, P.O. Box 231, </w:t>
      </w:r>
      <w:proofErr w:type="spellStart"/>
      <w:r w:rsidR="00E46355" w:rsidRPr="00F74D25">
        <w:rPr>
          <w:rFonts w:ascii="Times New Roman" w:eastAsiaTheme="majorEastAsia" w:hAnsi="Times New Roman" w:cs="Times New Roman"/>
          <w:b/>
          <w:bCs/>
          <w:color w:val="365F91" w:themeColor="accent1" w:themeShade="BF"/>
          <w:sz w:val="24"/>
          <w:szCs w:val="24"/>
        </w:rPr>
        <w:t>Mekelle</w:t>
      </w:r>
      <w:proofErr w:type="spellEnd"/>
      <w:r w:rsidR="005633C1">
        <w:rPr>
          <w:rFonts w:ascii="Times New Roman" w:eastAsiaTheme="majorEastAsia" w:hAnsi="Times New Roman" w:cs="Times New Roman"/>
          <w:b/>
          <w:bCs/>
          <w:color w:val="365F91" w:themeColor="accent1" w:themeShade="BF"/>
          <w:sz w:val="24"/>
          <w:szCs w:val="24"/>
        </w:rPr>
        <w:t>,</w:t>
      </w:r>
      <w:r w:rsidR="00E46355" w:rsidRPr="00F74D25">
        <w:rPr>
          <w:rFonts w:ascii="Times New Roman" w:eastAsiaTheme="majorEastAsia" w:hAnsi="Times New Roman" w:cs="Times New Roman"/>
          <w:b/>
          <w:bCs/>
          <w:color w:val="365F91" w:themeColor="accent1" w:themeShade="BF"/>
          <w:sz w:val="24"/>
          <w:szCs w:val="24"/>
        </w:rPr>
        <w:t xml:space="preserve"> Ethiopia</w:t>
      </w:r>
    </w:p>
    <w:p w:rsidR="00E46355" w:rsidRPr="00F74D25" w:rsidRDefault="00F74D25" w:rsidP="00F74D25">
      <w:pPr>
        <w:keepNext/>
        <w:keepLines/>
        <w:spacing w:after="0" w:line="360" w:lineRule="auto"/>
        <w:jc w:val="center"/>
        <w:outlineLvl w:val="0"/>
        <w:rPr>
          <w:rFonts w:ascii="Times New Roman" w:eastAsiaTheme="majorEastAsia" w:hAnsi="Times New Roman" w:cs="Times New Roman"/>
          <w:b/>
          <w:bCs/>
          <w:color w:val="365F91" w:themeColor="accent1" w:themeShade="BF"/>
          <w:sz w:val="24"/>
          <w:szCs w:val="24"/>
        </w:rPr>
      </w:pPr>
      <w:r w:rsidRPr="00F74D25">
        <w:rPr>
          <w:rFonts w:ascii="Times New Roman" w:eastAsiaTheme="majorEastAsia" w:hAnsi="Times New Roman" w:cs="Times New Roman"/>
          <w:b/>
          <w:bCs/>
          <w:color w:val="365F91" w:themeColor="accent1" w:themeShade="BF"/>
          <w:sz w:val="24"/>
          <w:szCs w:val="24"/>
        </w:rPr>
        <w:t>Corresponding</w:t>
      </w:r>
      <w:r w:rsidR="00E46355" w:rsidRPr="00F74D25">
        <w:rPr>
          <w:rFonts w:ascii="Times New Roman" w:eastAsiaTheme="majorEastAsia" w:hAnsi="Times New Roman" w:cs="Times New Roman"/>
          <w:b/>
          <w:bCs/>
          <w:color w:val="365F91" w:themeColor="accent1" w:themeShade="BF"/>
          <w:sz w:val="24"/>
          <w:szCs w:val="24"/>
        </w:rPr>
        <w:t xml:space="preserve"> author</w:t>
      </w:r>
      <w:r w:rsidRPr="00F74D25">
        <w:rPr>
          <w:rFonts w:ascii="Times New Roman" w:eastAsiaTheme="majorEastAsia" w:hAnsi="Times New Roman" w:cs="Times New Roman"/>
          <w:b/>
          <w:bCs/>
          <w:color w:val="365F91" w:themeColor="accent1" w:themeShade="BF"/>
          <w:sz w:val="24"/>
          <w:szCs w:val="24"/>
        </w:rPr>
        <w:t>: merrynegasi@gmail.com</w:t>
      </w:r>
    </w:p>
    <w:tbl>
      <w:tblPr>
        <w:tblW w:w="11040" w:type="dxa"/>
        <w:tblInd w:w="-111" w:type="dxa"/>
        <w:tblBorders>
          <w:top w:val="single" w:sz="4" w:space="0" w:color="auto"/>
        </w:tblBorders>
        <w:tblLook w:val="0000" w:firstRow="0" w:lastRow="0" w:firstColumn="0" w:lastColumn="0" w:noHBand="0" w:noVBand="0"/>
      </w:tblPr>
      <w:tblGrid>
        <w:gridCol w:w="11040"/>
      </w:tblGrid>
      <w:tr w:rsidR="00F74D25" w:rsidTr="00805316">
        <w:trPr>
          <w:trHeight w:val="3"/>
        </w:trPr>
        <w:tc>
          <w:tcPr>
            <w:tcW w:w="11040" w:type="dxa"/>
          </w:tcPr>
          <w:p w:rsidR="00F74D25" w:rsidRDefault="00F74D25" w:rsidP="00805316">
            <w:pPr>
              <w:keepNext/>
              <w:keepLines/>
              <w:spacing w:before="480" w:after="0" w:line="360" w:lineRule="auto"/>
              <w:outlineLvl w:val="0"/>
              <w:rPr>
                <w:rFonts w:ascii="Times New Roman" w:eastAsiaTheme="majorEastAsia" w:hAnsi="Times New Roman" w:cs="Times New Roman"/>
                <w:b/>
                <w:bCs/>
                <w:color w:val="365F91" w:themeColor="accent1" w:themeShade="BF"/>
                <w:sz w:val="24"/>
                <w:szCs w:val="24"/>
              </w:rPr>
            </w:pPr>
            <w:bookmarkStart w:id="1" w:name="_GoBack"/>
            <w:bookmarkEnd w:id="1"/>
          </w:p>
        </w:tc>
      </w:tr>
    </w:tbl>
    <w:p w:rsidR="00192046" w:rsidRDefault="00192046" w:rsidP="00F74D25">
      <w:pPr>
        <w:keepNext/>
        <w:keepLines/>
        <w:spacing w:after="0" w:line="360" w:lineRule="auto"/>
        <w:outlineLvl w:val="0"/>
        <w:rPr>
          <w:rFonts w:ascii="Times New Roman" w:eastAsiaTheme="majorEastAsia" w:hAnsi="Times New Roman" w:cs="Times New Roman"/>
          <w:b/>
          <w:bCs/>
          <w:color w:val="365F91" w:themeColor="accent1" w:themeShade="BF"/>
          <w:sz w:val="24"/>
          <w:szCs w:val="24"/>
        </w:rPr>
      </w:pPr>
      <w:r w:rsidRPr="009B0C8E">
        <w:rPr>
          <w:rFonts w:ascii="Times New Roman" w:eastAsiaTheme="majorEastAsia" w:hAnsi="Times New Roman" w:cs="Times New Roman"/>
          <w:b/>
          <w:bCs/>
          <w:color w:val="365F91" w:themeColor="accent1" w:themeShade="BF"/>
          <w:sz w:val="24"/>
          <w:szCs w:val="24"/>
        </w:rPr>
        <w:t>ABSTRACT</w:t>
      </w:r>
      <w:bookmarkEnd w:id="0"/>
    </w:p>
    <w:p w:rsidR="00805316" w:rsidRPr="009B0C8E" w:rsidRDefault="00805316" w:rsidP="00F74D25">
      <w:pPr>
        <w:keepNext/>
        <w:keepLines/>
        <w:spacing w:after="0" w:line="360" w:lineRule="auto"/>
        <w:outlineLvl w:val="0"/>
        <w:rPr>
          <w:rFonts w:ascii="Times New Roman" w:eastAsiaTheme="majorEastAsia" w:hAnsi="Times New Roman" w:cs="Times New Roman"/>
          <w:b/>
          <w:bCs/>
          <w:color w:val="365F91" w:themeColor="accent1" w:themeShade="BF"/>
          <w:sz w:val="24"/>
          <w:szCs w:val="24"/>
        </w:rPr>
      </w:pPr>
    </w:p>
    <w:p w:rsidR="00805316" w:rsidRPr="002821A1" w:rsidRDefault="00CD46DD" w:rsidP="00805316">
      <w:pPr>
        <w:jc w:val="both"/>
        <w:rPr>
          <w:rFonts w:ascii="Times New Roman" w:eastAsia="Calibri" w:hAnsi="Times New Roman" w:cs="Times New Roman"/>
          <w:i/>
          <w:sz w:val="24"/>
          <w:szCs w:val="24"/>
        </w:rPr>
      </w:pPr>
      <w:r w:rsidRPr="009B0C8E">
        <w:rPr>
          <w:rFonts w:ascii="Times New Roman" w:hAnsi="Times New Roman" w:cs="Times New Roman"/>
          <w:i/>
          <w:sz w:val="24"/>
          <w:szCs w:val="24"/>
        </w:rPr>
        <w:t>C</w:t>
      </w:r>
      <w:r w:rsidR="00192046" w:rsidRPr="009B0C8E">
        <w:rPr>
          <w:rFonts w:ascii="Times New Roman" w:hAnsi="Times New Roman" w:cs="Times New Roman"/>
          <w:i/>
          <w:sz w:val="24"/>
          <w:szCs w:val="24"/>
        </w:rPr>
        <w:t xml:space="preserve">limate change is a global </w:t>
      </w:r>
      <w:r w:rsidRPr="009B0C8E">
        <w:rPr>
          <w:rFonts w:ascii="Times New Roman" w:hAnsi="Times New Roman" w:cs="Times New Roman"/>
          <w:i/>
          <w:sz w:val="24"/>
          <w:szCs w:val="24"/>
        </w:rPr>
        <w:t>phenomenon;</w:t>
      </w:r>
      <w:r w:rsidR="00192046" w:rsidRPr="009B0C8E">
        <w:rPr>
          <w:rFonts w:ascii="Times New Roman" w:hAnsi="Times New Roman" w:cs="Times New Roman"/>
          <w:i/>
          <w:sz w:val="24"/>
          <w:szCs w:val="24"/>
        </w:rPr>
        <w:t xml:space="preserve"> its negative impacts are more severely felt by poor people in developing countries who rely heavily on the natural resource base for their livelihoods. The objective of this study was to analyze the impact of climate change on gender assets and adaptation </w:t>
      </w:r>
      <w:r w:rsidR="0096368A" w:rsidRPr="009B0C8E">
        <w:rPr>
          <w:rFonts w:ascii="Times New Roman" w:hAnsi="Times New Roman" w:cs="Times New Roman"/>
          <w:i/>
          <w:sz w:val="24"/>
          <w:szCs w:val="24"/>
        </w:rPr>
        <w:t>strategies</w:t>
      </w:r>
      <w:r w:rsidR="00613824" w:rsidRPr="009B0C8E">
        <w:rPr>
          <w:rFonts w:ascii="Times New Roman" w:hAnsi="Times New Roman" w:cs="Times New Roman"/>
          <w:i/>
          <w:sz w:val="24"/>
          <w:szCs w:val="24"/>
        </w:rPr>
        <w:t xml:space="preserve">, </w:t>
      </w:r>
      <w:proofErr w:type="spellStart"/>
      <w:r w:rsidR="00613824" w:rsidRPr="009B0C8E">
        <w:rPr>
          <w:rFonts w:ascii="Times New Roman" w:hAnsi="Times New Roman" w:cs="Times New Roman"/>
          <w:i/>
          <w:sz w:val="24"/>
          <w:szCs w:val="24"/>
        </w:rPr>
        <w:t>Tigray</w:t>
      </w:r>
      <w:proofErr w:type="spellEnd"/>
      <w:r w:rsidR="0096368A" w:rsidRPr="009B0C8E">
        <w:rPr>
          <w:rFonts w:ascii="Times New Roman" w:hAnsi="Times New Roman" w:cs="Times New Roman"/>
          <w:i/>
          <w:sz w:val="24"/>
          <w:szCs w:val="24"/>
        </w:rPr>
        <w:t xml:space="preserve"> region</w:t>
      </w:r>
      <w:r w:rsidR="00613824" w:rsidRPr="009B0C8E">
        <w:rPr>
          <w:rFonts w:ascii="Times New Roman" w:hAnsi="Times New Roman" w:cs="Times New Roman"/>
          <w:i/>
          <w:sz w:val="24"/>
          <w:szCs w:val="24"/>
        </w:rPr>
        <w:t>, Ethiopia</w:t>
      </w:r>
      <w:r w:rsidR="00805316">
        <w:rPr>
          <w:rFonts w:ascii="Times New Roman" w:hAnsi="Times New Roman" w:cs="Times New Roman"/>
          <w:i/>
          <w:sz w:val="24"/>
          <w:szCs w:val="24"/>
        </w:rPr>
        <w:t xml:space="preserve">. </w:t>
      </w:r>
      <w:r w:rsidR="00192046" w:rsidRPr="009B0C8E">
        <w:rPr>
          <w:rFonts w:ascii="Times New Roman" w:hAnsi="Times New Roman" w:cs="Times New Roman"/>
          <w:i/>
          <w:sz w:val="24"/>
          <w:szCs w:val="24"/>
        </w:rPr>
        <w:t xml:space="preserve">Content analysis was used to analyze the impact of climate change on gender asset and their choice of adaptation strategies whilst separate </w:t>
      </w:r>
      <w:proofErr w:type="spellStart"/>
      <w:r w:rsidR="00192046" w:rsidRPr="009B0C8E">
        <w:rPr>
          <w:rFonts w:ascii="Times New Roman" w:hAnsi="Times New Roman" w:cs="Times New Roman"/>
          <w:i/>
          <w:sz w:val="24"/>
          <w:szCs w:val="24"/>
        </w:rPr>
        <w:t>probit</w:t>
      </w:r>
      <w:proofErr w:type="spellEnd"/>
      <w:r w:rsidR="00192046" w:rsidRPr="009B0C8E">
        <w:rPr>
          <w:rFonts w:ascii="Times New Roman" w:hAnsi="Times New Roman" w:cs="Times New Roman"/>
          <w:i/>
          <w:sz w:val="24"/>
          <w:szCs w:val="24"/>
        </w:rPr>
        <w:t xml:space="preserve"> model was used to analyze the determinant factors that influence farmers’ adoption of adaptation strategies to climate change. Results show that climate change affects both households’ types, but poses more threat to female headed households. This is due to lack of access and control over resources by female headed households. The choice of adaptation strategies was also different between female and male headed households.</w:t>
      </w:r>
      <w:r w:rsidR="00613824" w:rsidRPr="009B0C8E">
        <w:rPr>
          <w:rFonts w:ascii="Times New Roman" w:hAnsi="Times New Roman" w:cs="Times New Roman"/>
          <w:i/>
          <w:sz w:val="24"/>
          <w:szCs w:val="24"/>
        </w:rPr>
        <w:t xml:space="preserve"> </w:t>
      </w:r>
      <w:r w:rsidR="0096368A" w:rsidRPr="009B0C8E">
        <w:rPr>
          <w:rFonts w:ascii="Times New Roman" w:hAnsi="Times New Roman" w:cs="Times New Roman"/>
          <w:i/>
          <w:sz w:val="24"/>
          <w:szCs w:val="24"/>
        </w:rPr>
        <w:t>As compared</w:t>
      </w:r>
      <w:r w:rsidR="00613824" w:rsidRPr="009B0C8E">
        <w:rPr>
          <w:rFonts w:ascii="Times New Roman" w:hAnsi="Times New Roman" w:cs="Times New Roman"/>
          <w:i/>
          <w:sz w:val="24"/>
          <w:szCs w:val="24"/>
        </w:rPr>
        <w:t xml:space="preserve"> to female headed households, male headed households adopted more adaptation strategies.</w:t>
      </w:r>
      <w:r w:rsidR="00192046" w:rsidRPr="009B0C8E">
        <w:rPr>
          <w:rFonts w:ascii="Times New Roman" w:hAnsi="Times New Roman" w:cs="Times New Roman"/>
          <w:i/>
          <w:sz w:val="24"/>
          <w:szCs w:val="24"/>
        </w:rPr>
        <w:t xml:space="preserve"> Those strategies include livelihood diversification, crop diversification and use of drought resistant and short growing crop varieties, adjusting and shifting of planting dates, temporary migration and planting trees, but female headed households adopt less. In addition, </w:t>
      </w:r>
      <w:proofErr w:type="spellStart"/>
      <w:r w:rsidR="00192046" w:rsidRPr="009B0C8E">
        <w:rPr>
          <w:rFonts w:ascii="Times New Roman" w:hAnsi="Times New Roman" w:cs="Times New Roman"/>
          <w:i/>
          <w:sz w:val="24"/>
          <w:szCs w:val="24"/>
        </w:rPr>
        <w:t>probit</w:t>
      </w:r>
      <w:proofErr w:type="spellEnd"/>
      <w:r w:rsidR="00192046" w:rsidRPr="009B0C8E">
        <w:rPr>
          <w:rFonts w:ascii="Times New Roman" w:hAnsi="Times New Roman" w:cs="Times New Roman"/>
          <w:i/>
          <w:sz w:val="24"/>
          <w:szCs w:val="24"/>
        </w:rPr>
        <w:t xml:space="preserve"> model result shows age, sex, education, family size, farm size, access extension service, participation in social organization, participation in off-farm activity, livestock holding, farming experience and distance to the nearest market as a major determinant factors that significantly affect farmers’ choice of adaptation of different strategies to climate change. </w:t>
      </w:r>
      <w:r w:rsidR="00805316" w:rsidRPr="002821A1">
        <w:rPr>
          <w:rFonts w:ascii="Times New Roman" w:hAnsi="Times New Roman" w:cs="Times New Roman"/>
          <w:i/>
          <w:sz w:val="24"/>
          <w:szCs w:val="24"/>
        </w:rPr>
        <w:t xml:space="preserve">Therefore, based on the result obtained in this study, it is recommended that government and non-government organizations should give attention and work on gender equality through raising awareness of the community thereby to </w:t>
      </w:r>
      <w:r w:rsidR="00805316" w:rsidRPr="002821A1">
        <w:rPr>
          <w:rFonts w:ascii="Times New Roman" w:eastAsia="Calibri" w:hAnsi="Times New Roman" w:cs="Times New Roman"/>
          <w:i/>
          <w:sz w:val="24"/>
          <w:szCs w:val="24"/>
        </w:rPr>
        <w:t xml:space="preserve">ensure wealth inheritance right of women, access and control over resources. </w:t>
      </w:r>
    </w:p>
    <w:p w:rsidR="00C549AC" w:rsidRPr="00C549AC" w:rsidRDefault="00C549AC" w:rsidP="00F74D25">
      <w:pPr>
        <w:spacing w:after="0" w:line="360" w:lineRule="auto"/>
        <w:jc w:val="both"/>
        <w:rPr>
          <w:rFonts w:ascii="Times New Roman" w:hAnsi="Times New Roman" w:cs="Times New Roman"/>
          <w:i/>
          <w:sz w:val="24"/>
          <w:szCs w:val="24"/>
        </w:rPr>
      </w:pPr>
    </w:p>
    <w:p w:rsidR="00613824" w:rsidRPr="009B0C8E" w:rsidRDefault="00613824" w:rsidP="00F74D25">
      <w:pPr>
        <w:spacing w:after="0" w:line="360" w:lineRule="auto"/>
        <w:jc w:val="both"/>
        <w:rPr>
          <w:rFonts w:ascii="Times New Roman" w:eastAsia="Calibri" w:hAnsi="Times New Roman" w:cs="Times New Roman"/>
          <w:b/>
          <w:sz w:val="24"/>
          <w:szCs w:val="24"/>
        </w:rPr>
      </w:pPr>
    </w:p>
    <w:p w:rsidR="0096368A" w:rsidRPr="009B0C8E" w:rsidRDefault="0096368A" w:rsidP="00F74D25">
      <w:pPr>
        <w:spacing w:after="0" w:line="360" w:lineRule="auto"/>
        <w:jc w:val="both"/>
        <w:rPr>
          <w:rFonts w:ascii="Times New Roman" w:eastAsia="Calibri" w:hAnsi="Times New Roman" w:cs="Times New Roman"/>
          <w:b/>
          <w:sz w:val="24"/>
          <w:szCs w:val="24"/>
        </w:rPr>
      </w:pPr>
    </w:p>
    <w:p w:rsidR="00E61E19" w:rsidRPr="009B0C8E" w:rsidRDefault="00192046" w:rsidP="00F74D25">
      <w:pPr>
        <w:spacing w:after="0" w:line="360" w:lineRule="auto"/>
        <w:jc w:val="both"/>
        <w:rPr>
          <w:rFonts w:ascii="Times New Roman" w:eastAsia="Calibri" w:hAnsi="Times New Roman" w:cs="Times New Roman"/>
          <w:b/>
          <w:sz w:val="24"/>
          <w:szCs w:val="24"/>
        </w:rPr>
      </w:pPr>
      <w:r w:rsidRPr="009B0C8E">
        <w:rPr>
          <w:rFonts w:ascii="Times New Roman" w:eastAsia="Calibri" w:hAnsi="Times New Roman" w:cs="Times New Roman"/>
          <w:b/>
          <w:sz w:val="24"/>
          <w:szCs w:val="24"/>
        </w:rPr>
        <w:t>Key words: Climate Change, Gender, Asset, Adaptation Strategies</w:t>
      </w:r>
    </w:p>
    <w:sectPr w:rsidR="00E61E19" w:rsidRPr="009B0C8E" w:rsidSect="00805316">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946" w:rsidRDefault="00334946" w:rsidP="00805316">
      <w:pPr>
        <w:spacing w:after="0" w:line="240" w:lineRule="auto"/>
      </w:pPr>
      <w:r>
        <w:separator/>
      </w:r>
    </w:p>
  </w:endnote>
  <w:endnote w:type="continuationSeparator" w:id="0">
    <w:p w:rsidR="00334946" w:rsidRDefault="00334946" w:rsidP="00805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946" w:rsidRDefault="00334946" w:rsidP="00805316">
      <w:pPr>
        <w:spacing w:after="0" w:line="240" w:lineRule="auto"/>
      </w:pPr>
      <w:r>
        <w:separator/>
      </w:r>
    </w:p>
  </w:footnote>
  <w:footnote w:type="continuationSeparator" w:id="0">
    <w:p w:rsidR="00334946" w:rsidRDefault="00334946" w:rsidP="008053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046"/>
    <w:rsid w:val="00024535"/>
    <w:rsid w:val="00192046"/>
    <w:rsid w:val="00334946"/>
    <w:rsid w:val="005633C1"/>
    <w:rsid w:val="00613824"/>
    <w:rsid w:val="00681BBD"/>
    <w:rsid w:val="007F4DBD"/>
    <w:rsid w:val="00805316"/>
    <w:rsid w:val="0096368A"/>
    <w:rsid w:val="009B0C8E"/>
    <w:rsid w:val="00BF1E47"/>
    <w:rsid w:val="00C549AC"/>
    <w:rsid w:val="00CD46DD"/>
    <w:rsid w:val="00E46355"/>
    <w:rsid w:val="00E61E19"/>
    <w:rsid w:val="00F74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80BB1D-BB54-4730-8115-EE9EA42B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49AC"/>
    <w:rPr>
      <w:color w:val="0000FF"/>
      <w:u w:val="single"/>
    </w:rPr>
  </w:style>
  <w:style w:type="paragraph" w:styleId="Header">
    <w:name w:val="header"/>
    <w:basedOn w:val="Normal"/>
    <w:link w:val="HeaderChar"/>
    <w:uiPriority w:val="99"/>
    <w:unhideWhenUsed/>
    <w:rsid w:val="00805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16"/>
  </w:style>
  <w:style w:type="paragraph" w:styleId="Footer">
    <w:name w:val="footer"/>
    <w:basedOn w:val="Normal"/>
    <w:link w:val="FooterChar"/>
    <w:uiPriority w:val="99"/>
    <w:unhideWhenUsed/>
    <w:rsid w:val="00805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4A6F3-A349-4F70-9CAD-56069B846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Merry</dc:creator>
  <cp:lastModifiedBy>MaryJo</cp:lastModifiedBy>
  <cp:revision>4</cp:revision>
  <dcterms:created xsi:type="dcterms:W3CDTF">2017-03-20T13:38:00Z</dcterms:created>
  <dcterms:modified xsi:type="dcterms:W3CDTF">2018-03-28T12:07:00Z</dcterms:modified>
</cp:coreProperties>
</file>