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ADD0A" w14:textId="77777777" w:rsidR="00F20F7E" w:rsidRPr="001D65CE" w:rsidRDefault="001E774F" w:rsidP="001D65CE">
      <w:pPr>
        <w:spacing w:line="240" w:lineRule="auto"/>
        <w:rPr>
          <w:rFonts w:ascii="Times New Roman" w:hAnsi="Times New Roman" w:cs="Times New Roman"/>
          <w:sz w:val="18"/>
          <w:szCs w:val="18"/>
          <w:u w:val="single"/>
        </w:rPr>
      </w:pPr>
      <w:bookmarkStart w:id="0" w:name="_GoBack"/>
      <w:r w:rsidRPr="001D65CE">
        <w:rPr>
          <w:rFonts w:ascii="Times New Roman" w:hAnsi="Times New Roman" w:cs="Times New Roman"/>
          <w:sz w:val="18"/>
          <w:szCs w:val="18"/>
          <w:u w:val="single"/>
        </w:rPr>
        <w:t>Abstract - SJS/ TENS in Adult &amp; Paediatric patients: The Manchester Experience</w:t>
      </w:r>
    </w:p>
    <w:bookmarkEnd w:id="0"/>
    <w:p w14:paraId="0AAEB309" w14:textId="77777777" w:rsidR="001E774F" w:rsidRPr="001D65CE" w:rsidRDefault="001E774F" w:rsidP="001D65CE">
      <w:pPr>
        <w:spacing w:line="240" w:lineRule="auto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14:paraId="6B17110C" w14:textId="77777777" w:rsidR="001E774F" w:rsidRPr="001D65CE" w:rsidRDefault="00D61113" w:rsidP="001D65C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D65CE">
        <w:rPr>
          <w:rFonts w:ascii="Times New Roman" w:hAnsi="Times New Roman" w:cs="Times New Roman"/>
          <w:b/>
          <w:sz w:val="18"/>
          <w:szCs w:val="18"/>
        </w:rPr>
        <w:t>Authors:</w:t>
      </w:r>
      <w:r w:rsidRPr="001D65CE">
        <w:rPr>
          <w:rFonts w:ascii="Times New Roman" w:hAnsi="Times New Roman" w:cs="Times New Roman"/>
          <w:sz w:val="18"/>
          <w:szCs w:val="18"/>
        </w:rPr>
        <w:t xml:space="preserve"> 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Mr F Serra E Moura; Ms V </w:t>
      </w:r>
      <w:proofErr w:type="spellStart"/>
      <w:r w:rsidR="001E774F" w:rsidRPr="001D65CE">
        <w:rPr>
          <w:rFonts w:ascii="Times New Roman" w:hAnsi="Times New Roman" w:cs="Times New Roman"/>
          <w:sz w:val="18"/>
          <w:szCs w:val="18"/>
        </w:rPr>
        <w:t>Manou</w:t>
      </w:r>
      <w:proofErr w:type="spellEnd"/>
      <w:r w:rsidR="001E774F" w:rsidRPr="001D65CE">
        <w:rPr>
          <w:rFonts w:ascii="Times New Roman" w:hAnsi="Times New Roman" w:cs="Times New Roman"/>
          <w:sz w:val="18"/>
          <w:szCs w:val="18"/>
        </w:rPr>
        <w:t xml:space="preserve">; Mr A </w:t>
      </w:r>
      <w:proofErr w:type="spellStart"/>
      <w:r w:rsidR="001E774F" w:rsidRPr="001D65CE">
        <w:rPr>
          <w:rFonts w:ascii="Times New Roman" w:hAnsi="Times New Roman" w:cs="Times New Roman"/>
          <w:sz w:val="18"/>
          <w:szCs w:val="18"/>
        </w:rPr>
        <w:t>Salibi</w:t>
      </w:r>
      <w:proofErr w:type="spellEnd"/>
      <w:r w:rsidR="001E774F" w:rsidRPr="001D65CE">
        <w:rPr>
          <w:rFonts w:ascii="Times New Roman" w:hAnsi="Times New Roman" w:cs="Times New Roman"/>
          <w:sz w:val="18"/>
          <w:szCs w:val="18"/>
        </w:rPr>
        <w:t>; Mr A Soueid</w:t>
      </w:r>
    </w:p>
    <w:p w14:paraId="6EF5DCB6" w14:textId="77777777" w:rsidR="001E774F" w:rsidRPr="001D65CE" w:rsidRDefault="001E774F" w:rsidP="001D65CE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69212CEC" w14:textId="77777777" w:rsidR="00AB60EF" w:rsidRPr="001D65CE" w:rsidRDefault="00AB60EF" w:rsidP="001D65C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D65CE">
        <w:rPr>
          <w:rFonts w:ascii="Times New Roman" w:hAnsi="Times New Roman" w:cs="Times New Roman"/>
          <w:b/>
          <w:bCs/>
          <w:sz w:val="18"/>
          <w:szCs w:val="18"/>
        </w:rPr>
        <w:t>Introduction</w:t>
      </w:r>
      <w:r w:rsidRPr="001D65CE">
        <w:rPr>
          <w:rFonts w:ascii="Times New Roman" w:hAnsi="Times New Roman" w:cs="Times New Roman"/>
          <w:sz w:val="18"/>
          <w:szCs w:val="18"/>
        </w:rPr>
        <w:t xml:space="preserve">: 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Stevens-Johnson syndrome/ Toxic epidermal necrolysis (SJS/TEN) are rare life-threatening desquamative disorders which are characterised by large areas of </w:t>
      </w:r>
      <w:r w:rsidR="00D61113" w:rsidRPr="001D65CE">
        <w:rPr>
          <w:rFonts w:ascii="Times New Roman" w:hAnsi="Times New Roman" w:cs="Times New Roman"/>
          <w:sz w:val="18"/>
          <w:szCs w:val="18"/>
        </w:rPr>
        <w:t xml:space="preserve">epidermal and mucosal loss. This immunologically-mediated and usually drug-induced disease has an annual incidence of 1–5/1,000,000. 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The extent and degree of desquamation sustained leads to its management being best undertaken within a multidisciplinary setting led by clinicians experienced in the management of </w:t>
      </w:r>
      <w:r w:rsidR="00D61113" w:rsidRPr="001D65CE">
        <w:rPr>
          <w:rFonts w:ascii="Times New Roman" w:hAnsi="Times New Roman" w:cs="Times New Roman"/>
          <w:sz w:val="18"/>
          <w:szCs w:val="18"/>
        </w:rPr>
        <w:t>significant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 skin loss and its sequelae such as urogenital, ophthalmologic and respiratory complications. </w:t>
      </w:r>
    </w:p>
    <w:p w14:paraId="38C54ED9" w14:textId="77777777" w:rsidR="00AB60EF" w:rsidRPr="001D65CE" w:rsidRDefault="00AB60EF" w:rsidP="001D65C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D65CE">
        <w:rPr>
          <w:rFonts w:ascii="Times New Roman" w:hAnsi="Times New Roman" w:cs="Times New Roman"/>
          <w:b/>
          <w:bCs/>
          <w:sz w:val="18"/>
          <w:szCs w:val="18"/>
        </w:rPr>
        <w:t>Methodology</w:t>
      </w:r>
      <w:r w:rsidRPr="001D65CE">
        <w:rPr>
          <w:rFonts w:ascii="Times New Roman" w:hAnsi="Times New Roman" w:cs="Times New Roman"/>
          <w:sz w:val="18"/>
          <w:szCs w:val="18"/>
        </w:rPr>
        <w:t xml:space="preserve">: </w:t>
      </w:r>
      <w:r w:rsidR="001E774F" w:rsidRPr="001D65CE">
        <w:rPr>
          <w:rFonts w:ascii="Times New Roman" w:hAnsi="Times New Roman" w:cs="Times New Roman"/>
          <w:sz w:val="18"/>
          <w:szCs w:val="18"/>
        </w:rPr>
        <w:t>A retrospective case review was performed for all patients with a clinical diagnosis of both SJS &amp; TENS admitted to our adults and paediatrics burns centre in Manchester</w:t>
      </w:r>
      <w:r w:rsidRPr="001D65CE">
        <w:rPr>
          <w:rFonts w:ascii="Times New Roman" w:hAnsi="Times New Roman" w:cs="Times New Roman"/>
          <w:sz w:val="18"/>
          <w:szCs w:val="18"/>
        </w:rPr>
        <w:t xml:space="preserve"> (UK)</w:t>
      </w:r>
      <w:r w:rsidR="00D61113" w:rsidRPr="001D65CE">
        <w:rPr>
          <w:rFonts w:ascii="Times New Roman" w:hAnsi="Times New Roman" w:cs="Times New Roman"/>
          <w:sz w:val="18"/>
          <w:szCs w:val="18"/>
        </w:rPr>
        <w:t xml:space="preserve"> across 2 separate sites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 between January 2005 and June 2018. Patient demographics, percentage total body surface area (%TBSA), mucosal involvement, causation, length of stay and survival were studied. </w:t>
      </w:r>
    </w:p>
    <w:p w14:paraId="046EB101" w14:textId="2FADE065" w:rsidR="001E774F" w:rsidRPr="001D65CE" w:rsidRDefault="00AB60EF" w:rsidP="001D65C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D65CE">
        <w:rPr>
          <w:rFonts w:ascii="Times New Roman" w:hAnsi="Times New Roman" w:cs="Times New Roman"/>
          <w:b/>
          <w:bCs/>
          <w:sz w:val="18"/>
          <w:szCs w:val="18"/>
        </w:rPr>
        <w:t>Results:</w:t>
      </w:r>
      <w:r w:rsidRPr="001D65CE">
        <w:rPr>
          <w:rFonts w:ascii="Times New Roman" w:hAnsi="Times New Roman" w:cs="Times New Roman"/>
          <w:sz w:val="18"/>
          <w:szCs w:val="18"/>
        </w:rPr>
        <w:t xml:space="preserve"> 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During this </w:t>
      </w:r>
      <w:r w:rsidRPr="001D65CE">
        <w:rPr>
          <w:rFonts w:ascii="Times New Roman" w:hAnsi="Times New Roman" w:cs="Times New Roman"/>
          <w:sz w:val="18"/>
          <w:szCs w:val="18"/>
        </w:rPr>
        <w:t xml:space="preserve">study </w:t>
      </w:r>
      <w:r w:rsidR="001E774F" w:rsidRPr="001D65CE">
        <w:rPr>
          <w:rFonts w:ascii="Times New Roman" w:hAnsi="Times New Roman" w:cs="Times New Roman"/>
          <w:sz w:val="18"/>
          <w:szCs w:val="18"/>
        </w:rPr>
        <w:t>period, 14 adults (M11; F3) and 9 paediatric (M6; F3) patients were managed for SJS/TENS. Mean age was 55 years old (range 1</w:t>
      </w:r>
      <w:r w:rsidR="006D649E" w:rsidRPr="001D65CE">
        <w:rPr>
          <w:rFonts w:ascii="Times New Roman" w:hAnsi="Times New Roman" w:cs="Times New Roman"/>
          <w:sz w:val="18"/>
          <w:szCs w:val="18"/>
        </w:rPr>
        <w:t>6</w:t>
      </w:r>
      <w:r w:rsidR="001E774F" w:rsidRPr="001D65CE">
        <w:rPr>
          <w:rFonts w:ascii="Times New Roman" w:hAnsi="Times New Roman" w:cs="Times New Roman"/>
          <w:sz w:val="18"/>
          <w:szCs w:val="18"/>
        </w:rPr>
        <w:t>-89) for adults and 4.7 years of age (range 1-1</w:t>
      </w:r>
      <w:r w:rsidR="006D649E" w:rsidRPr="001D65CE">
        <w:rPr>
          <w:rFonts w:ascii="Times New Roman" w:hAnsi="Times New Roman" w:cs="Times New Roman"/>
          <w:sz w:val="18"/>
          <w:szCs w:val="18"/>
        </w:rPr>
        <w:t>6</w:t>
      </w:r>
      <w:r w:rsidR="001E774F" w:rsidRPr="001D65CE">
        <w:rPr>
          <w:rFonts w:ascii="Times New Roman" w:hAnsi="Times New Roman" w:cs="Times New Roman"/>
          <w:sz w:val="18"/>
          <w:szCs w:val="18"/>
        </w:rPr>
        <w:t>) for the</w:t>
      </w:r>
      <w:r w:rsidR="00D61113" w:rsidRPr="001D65CE">
        <w:rPr>
          <w:rFonts w:ascii="Times New Roman" w:hAnsi="Times New Roman" w:cs="Times New Roman"/>
          <w:sz w:val="18"/>
          <w:szCs w:val="18"/>
        </w:rPr>
        <w:t xml:space="preserve"> paediatric cohort. Mean </w:t>
      </w:r>
      <w:r w:rsidR="001E774F" w:rsidRPr="001D65CE">
        <w:rPr>
          <w:rFonts w:ascii="Times New Roman" w:hAnsi="Times New Roman" w:cs="Times New Roman"/>
          <w:sz w:val="18"/>
          <w:szCs w:val="18"/>
        </w:rPr>
        <w:t>TBSA</w:t>
      </w:r>
      <w:r w:rsidR="00D61113" w:rsidRPr="001D65CE">
        <w:rPr>
          <w:rFonts w:ascii="Times New Roman" w:hAnsi="Times New Roman" w:cs="Times New Roman"/>
          <w:sz w:val="18"/>
          <w:szCs w:val="18"/>
        </w:rPr>
        <w:t xml:space="preserve"> (%)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 was 49% (range 5-100) and 43% (range 10-95) whereas the length of hospital stay was 14.3 (range 7-38) and 14.7 (3-36) days for adults and paediatric patients, correspondingly.</w:t>
      </w:r>
      <w:r w:rsidR="004D48CD" w:rsidRPr="001D65CE">
        <w:rPr>
          <w:rFonts w:ascii="Times New Roman" w:hAnsi="Times New Roman" w:cs="Times New Roman"/>
          <w:sz w:val="18"/>
          <w:szCs w:val="18"/>
        </w:rPr>
        <w:t xml:space="preserve"> 36% (n=5) of adult patients had a SCORTEN score calculated within the first 24 hours of admission.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 For the adult cohort, we observed a mortality of 2</w:t>
      </w:r>
      <w:r w:rsidR="00D61113" w:rsidRPr="001D65CE">
        <w:rPr>
          <w:rFonts w:ascii="Times New Roman" w:hAnsi="Times New Roman" w:cs="Times New Roman"/>
          <w:sz w:val="18"/>
          <w:szCs w:val="18"/>
        </w:rPr>
        <w:t>9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% (n=4) with a further patient being discharged to palliative care. There was no reported mortality in the paediatric group </w:t>
      </w:r>
      <w:r w:rsidR="00D61113" w:rsidRPr="001D65CE">
        <w:rPr>
          <w:rFonts w:ascii="Times New Roman" w:hAnsi="Times New Roman" w:cs="Times New Roman"/>
          <w:sz w:val="18"/>
          <w:szCs w:val="18"/>
        </w:rPr>
        <w:t>however 44</w:t>
      </w:r>
      <w:r w:rsidR="001E774F" w:rsidRPr="001D65CE">
        <w:rPr>
          <w:rFonts w:ascii="Times New Roman" w:hAnsi="Times New Roman" w:cs="Times New Roman"/>
          <w:sz w:val="18"/>
          <w:szCs w:val="18"/>
        </w:rPr>
        <w:t>% of patients (n=4) developed a functional complication</w:t>
      </w:r>
      <w:r w:rsidRPr="001D65CE">
        <w:rPr>
          <w:rFonts w:ascii="Times New Roman" w:hAnsi="Times New Roman" w:cs="Times New Roman"/>
          <w:sz w:val="18"/>
          <w:szCs w:val="18"/>
        </w:rPr>
        <w:t xml:space="preserve"> (E.g. Phimosis, corneal abrasion, lung disease</w:t>
      </w:r>
      <w:r w:rsidR="00D61113" w:rsidRPr="001D65CE">
        <w:rPr>
          <w:rFonts w:ascii="Times New Roman" w:hAnsi="Times New Roman" w:cs="Times New Roman"/>
          <w:sz w:val="18"/>
          <w:szCs w:val="18"/>
        </w:rPr>
        <w:t>, etc</w:t>
      </w:r>
      <w:r w:rsidRPr="001D65CE">
        <w:rPr>
          <w:rFonts w:ascii="Times New Roman" w:hAnsi="Times New Roman" w:cs="Times New Roman"/>
          <w:sz w:val="18"/>
          <w:szCs w:val="18"/>
        </w:rPr>
        <w:t>)</w:t>
      </w:r>
      <w:r w:rsidR="001E774F" w:rsidRPr="001D65CE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589227F" w14:textId="77777777" w:rsidR="00AB60EF" w:rsidRPr="001D65CE" w:rsidRDefault="00AB60EF" w:rsidP="001D65C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D65CE">
        <w:rPr>
          <w:rFonts w:ascii="Times New Roman" w:hAnsi="Times New Roman" w:cs="Times New Roman"/>
          <w:b/>
          <w:bCs/>
          <w:sz w:val="18"/>
          <w:szCs w:val="18"/>
        </w:rPr>
        <w:t>Conclusion:</w:t>
      </w:r>
      <w:r w:rsidRPr="001D65CE">
        <w:rPr>
          <w:rFonts w:ascii="Times New Roman" w:hAnsi="Times New Roman" w:cs="Times New Roman"/>
          <w:sz w:val="18"/>
          <w:szCs w:val="18"/>
        </w:rPr>
        <w:t xml:space="preserve"> The adult population carry a higher mortality </w:t>
      </w:r>
      <w:r w:rsidR="00D61113" w:rsidRPr="001D65CE">
        <w:rPr>
          <w:rFonts w:ascii="Times New Roman" w:hAnsi="Times New Roman" w:cs="Times New Roman"/>
          <w:sz w:val="18"/>
          <w:szCs w:val="18"/>
        </w:rPr>
        <w:t>likely due to</w:t>
      </w:r>
      <w:r w:rsidRPr="001D65CE">
        <w:rPr>
          <w:rFonts w:ascii="Times New Roman" w:hAnsi="Times New Roman" w:cs="Times New Roman"/>
          <w:sz w:val="18"/>
          <w:szCs w:val="18"/>
        </w:rPr>
        <w:t xml:space="preserve"> increased comorbidities. Paediatric patients, in contrast, carry a lower mortality though the complications developed from SJS/TENS may impact their development into adulthood</w:t>
      </w:r>
      <w:r w:rsidR="00D61113" w:rsidRPr="001D65CE">
        <w:rPr>
          <w:rFonts w:ascii="Times New Roman" w:hAnsi="Times New Roman" w:cs="Times New Roman"/>
          <w:sz w:val="18"/>
          <w:szCs w:val="18"/>
        </w:rPr>
        <w:t xml:space="preserve"> and later quality of life</w:t>
      </w:r>
      <w:r w:rsidRPr="001D65CE">
        <w:rPr>
          <w:rFonts w:ascii="Times New Roman" w:hAnsi="Times New Roman" w:cs="Times New Roman"/>
          <w:sz w:val="18"/>
          <w:szCs w:val="18"/>
        </w:rPr>
        <w:t xml:space="preserve">. Meticulous and time-conscious MDT input for both adults and paediatric patients is fundamental to lower the mortality and morbidity associated with this condition. </w:t>
      </w:r>
    </w:p>
    <w:p w14:paraId="18FD1F48" w14:textId="77777777" w:rsidR="00D61113" w:rsidRPr="001D65CE" w:rsidRDefault="00D61113" w:rsidP="001D65CE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1A5C906" w14:textId="3F6C547A" w:rsidR="00D61113" w:rsidRPr="001D65CE" w:rsidRDefault="00D61113" w:rsidP="001D65CE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D65CE">
        <w:rPr>
          <w:rFonts w:ascii="Times New Roman" w:hAnsi="Times New Roman" w:cs="Times New Roman"/>
          <w:b/>
          <w:sz w:val="18"/>
          <w:szCs w:val="18"/>
        </w:rPr>
        <w:t xml:space="preserve">Keywords: </w:t>
      </w:r>
      <w:r w:rsidRPr="001D65CE">
        <w:rPr>
          <w:rFonts w:ascii="Times New Roman" w:hAnsi="Times New Roman" w:cs="Times New Roman"/>
          <w:sz w:val="18"/>
          <w:szCs w:val="18"/>
        </w:rPr>
        <w:t>Steven—Johnson syndrome</w:t>
      </w:r>
      <w:r w:rsidR="001D65CE">
        <w:rPr>
          <w:rFonts w:ascii="Times New Roman" w:hAnsi="Times New Roman" w:cs="Times New Roman"/>
          <w:sz w:val="18"/>
          <w:szCs w:val="18"/>
        </w:rPr>
        <w:t>,</w:t>
      </w:r>
      <w:r w:rsidRPr="001D65CE">
        <w:rPr>
          <w:rFonts w:ascii="Times New Roman" w:hAnsi="Times New Roman" w:cs="Times New Roman"/>
          <w:sz w:val="18"/>
          <w:szCs w:val="18"/>
        </w:rPr>
        <w:t xml:space="preserve"> Toxic epidermal necrolysis</w:t>
      </w:r>
    </w:p>
    <w:p w14:paraId="101DCA0B" w14:textId="77777777" w:rsidR="001E774F" w:rsidRPr="001E774F" w:rsidRDefault="001E774F"/>
    <w:sectPr w:rsidR="001E774F" w:rsidRPr="001E7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774F"/>
    <w:rsid w:val="001D65CE"/>
    <w:rsid w:val="001E774F"/>
    <w:rsid w:val="004D48CD"/>
    <w:rsid w:val="005F04E9"/>
    <w:rsid w:val="006D649E"/>
    <w:rsid w:val="00AB60EF"/>
    <w:rsid w:val="00D61113"/>
    <w:rsid w:val="00F2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1A579"/>
  <w15:docId w15:val="{39E1E3B9-4C28-4F2E-9C32-279F9744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Teaching Hospitals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Moura</dc:creator>
  <cp:lastModifiedBy>Francisco Moura</cp:lastModifiedBy>
  <cp:revision>2</cp:revision>
  <dcterms:created xsi:type="dcterms:W3CDTF">2019-12-06T10:43:00Z</dcterms:created>
  <dcterms:modified xsi:type="dcterms:W3CDTF">2019-12-06T10:43:00Z</dcterms:modified>
</cp:coreProperties>
</file>