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6ADD0A" w14:textId="77777777" w:rsidR="00F20F7E" w:rsidRDefault="001E774F">
      <w:pPr>
        <w:rPr>
          <w:b/>
          <w:bCs/>
          <w:u w:val="single"/>
        </w:rPr>
      </w:pPr>
      <w:r w:rsidRPr="001E774F">
        <w:rPr>
          <w:b/>
          <w:bCs/>
          <w:u w:val="single"/>
        </w:rPr>
        <w:t>Abstract - SJS/ TENS in Adult &amp; Paediatric patients: The Manchester Experience</w:t>
      </w:r>
    </w:p>
    <w:p w14:paraId="0AAEB309" w14:textId="77777777" w:rsidR="001E774F" w:rsidRDefault="001E774F">
      <w:pPr>
        <w:rPr>
          <w:b/>
          <w:bCs/>
          <w:u w:val="single"/>
        </w:rPr>
      </w:pPr>
    </w:p>
    <w:p w14:paraId="6B17110C" w14:textId="77777777" w:rsidR="001E774F" w:rsidRPr="006D649E" w:rsidRDefault="00D61113">
      <w:r w:rsidRPr="006D649E">
        <w:rPr>
          <w:b/>
        </w:rPr>
        <w:t>Authors:</w:t>
      </w:r>
      <w:r w:rsidRPr="006D649E">
        <w:t xml:space="preserve"> </w:t>
      </w:r>
      <w:r w:rsidR="001E774F" w:rsidRPr="006D649E">
        <w:t xml:space="preserve">Mr F Serra E Moura; Ms V </w:t>
      </w:r>
      <w:proofErr w:type="spellStart"/>
      <w:r w:rsidR="001E774F" w:rsidRPr="006D649E">
        <w:t>Manou</w:t>
      </w:r>
      <w:proofErr w:type="spellEnd"/>
      <w:r w:rsidR="001E774F" w:rsidRPr="006D649E">
        <w:t xml:space="preserve">; Mr A </w:t>
      </w:r>
      <w:proofErr w:type="spellStart"/>
      <w:r w:rsidR="001E774F" w:rsidRPr="006D649E">
        <w:t>Salibi</w:t>
      </w:r>
      <w:proofErr w:type="spellEnd"/>
      <w:r w:rsidR="001E774F" w:rsidRPr="006D649E">
        <w:t>; Mr A Soueid</w:t>
      </w:r>
    </w:p>
    <w:p w14:paraId="6EF5DCB6" w14:textId="77777777" w:rsidR="001E774F" w:rsidRPr="006D649E" w:rsidRDefault="001E774F"/>
    <w:p w14:paraId="69212CEC" w14:textId="77777777" w:rsidR="00AB60EF" w:rsidRDefault="00AB60EF" w:rsidP="001E774F">
      <w:pPr>
        <w:spacing w:line="360" w:lineRule="auto"/>
        <w:jc w:val="both"/>
      </w:pPr>
      <w:r w:rsidRPr="00AB60EF">
        <w:rPr>
          <w:b/>
          <w:bCs/>
        </w:rPr>
        <w:t>Introduction</w:t>
      </w:r>
      <w:r>
        <w:t xml:space="preserve">: </w:t>
      </w:r>
      <w:r w:rsidR="001E774F" w:rsidRPr="00EC5FDB">
        <w:t>Stevens-Johnson syndrome/</w:t>
      </w:r>
      <w:r w:rsidR="001E774F">
        <w:t xml:space="preserve"> T</w:t>
      </w:r>
      <w:r w:rsidR="001E774F" w:rsidRPr="00EC5FDB">
        <w:t xml:space="preserve">oxic epidermal necrolysis (SJS/TEN) are rare life-threatening desquamative disorders which are characterised by large areas of </w:t>
      </w:r>
      <w:r w:rsidR="00D61113">
        <w:t xml:space="preserve">epidermal and mucosal loss. </w:t>
      </w:r>
      <w:r w:rsidR="00D61113" w:rsidRPr="00EC5FDB">
        <w:t xml:space="preserve">This immunologically-mediated and usually drug-induced disease has an annual incidence of 1–5/1,000,000. </w:t>
      </w:r>
      <w:r w:rsidR="001E774F" w:rsidRPr="00EC5FDB">
        <w:t xml:space="preserve">The extent and degree of desquamation sustained leads to its management being best undertaken within a multidisciplinary setting led by clinicians experienced in the management of </w:t>
      </w:r>
      <w:r w:rsidR="00D61113">
        <w:t>significant</w:t>
      </w:r>
      <w:r w:rsidR="001E774F" w:rsidRPr="00EC5FDB">
        <w:t xml:space="preserve"> skin loss and its sequelae such as urogenital, ophthalmologic and respiratory complications. </w:t>
      </w:r>
    </w:p>
    <w:p w14:paraId="38C54ED9" w14:textId="77777777" w:rsidR="00AB60EF" w:rsidRDefault="00AB60EF" w:rsidP="001E774F">
      <w:pPr>
        <w:spacing w:line="360" w:lineRule="auto"/>
        <w:jc w:val="both"/>
      </w:pPr>
      <w:r w:rsidRPr="00AB60EF">
        <w:rPr>
          <w:b/>
          <w:bCs/>
        </w:rPr>
        <w:t>Methodology</w:t>
      </w:r>
      <w:r>
        <w:t xml:space="preserve">: </w:t>
      </w:r>
      <w:r w:rsidR="001E774F" w:rsidRPr="00EC5FDB">
        <w:t>A retrospective case review was performed for all patients with a clinical diagnosis of both SJS &amp; TENS admitted to our adults and paediatrics burns centre in Manchester</w:t>
      </w:r>
      <w:r>
        <w:t xml:space="preserve"> (UK)</w:t>
      </w:r>
      <w:r w:rsidR="00D61113">
        <w:t xml:space="preserve"> across 2 separate sites</w:t>
      </w:r>
      <w:r w:rsidR="001E774F" w:rsidRPr="00EC5FDB">
        <w:t xml:space="preserve"> between January 2005 and June 2018. Patient demographics, percentage total body surface area (%TBSA), mucosal involvement, causation, length of stay and survival were studied. </w:t>
      </w:r>
    </w:p>
    <w:p w14:paraId="046EB101" w14:textId="2FADE065" w:rsidR="001E774F" w:rsidRDefault="00AB60EF" w:rsidP="001E774F">
      <w:pPr>
        <w:spacing w:line="360" w:lineRule="auto"/>
        <w:jc w:val="both"/>
      </w:pPr>
      <w:r w:rsidRPr="00AB60EF">
        <w:rPr>
          <w:b/>
          <w:bCs/>
        </w:rPr>
        <w:t>Results:</w:t>
      </w:r>
      <w:r>
        <w:t xml:space="preserve"> </w:t>
      </w:r>
      <w:r w:rsidR="001E774F" w:rsidRPr="00EC5FDB">
        <w:t xml:space="preserve">During this </w:t>
      </w:r>
      <w:r>
        <w:t xml:space="preserve">study </w:t>
      </w:r>
      <w:r w:rsidR="001E774F" w:rsidRPr="00EC5FDB">
        <w:t xml:space="preserve">period, 14 adults (M11; F3) and 9 paediatric (M6; F3) </w:t>
      </w:r>
      <w:r w:rsidR="001E774F">
        <w:t>patients were</w:t>
      </w:r>
      <w:r w:rsidR="001E774F" w:rsidRPr="00EC5FDB">
        <w:t xml:space="preserve"> managed for SJS/TENS. Mean age was 55 </w:t>
      </w:r>
      <w:r w:rsidR="001E774F">
        <w:t>years old (range 1</w:t>
      </w:r>
      <w:r w:rsidR="006D649E">
        <w:t>6</w:t>
      </w:r>
      <w:r w:rsidR="001E774F">
        <w:t xml:space="preserve">-89) for adults </w:t>
      </w:r>
      <w:r w:rsidR="001E774F" w:rsidRPr="00EC5FDB">
        <w:t xml:space="preserve">and 4.7 years </w:t>
      </w:r>
      <w:r w:rsidR="001E774F">
        <w:t>of age (range 1-1</w:t>
      </w:r>
      <w:r w:rsidR="006D649E">
        <w:t>6</w:t>
      </w:r>
      <w:bookmarkStart w:id="0" w:name="_GoBack"/>
      <w:bookmarkEnd w:id="0"/>
      <w:r w:rsidR="001E774F">
        <w:t>) for the</w:t>
      </w:r>
      <w:r w:rsidR="00D61113">
        <w:t xml:space="preserve"> paediatric cohort. Mean </w:t>
      </w:r>
      <w:r w:rsidR="001E774F" w:rsidRPr="00EC5FDB">
        <w:t>TBSA</w:t>
      </w:r>
      <w:r w:rsidR="00D61113">
        <w:t xml:space="preserve"> (%)</w:t>
      </w:r>
      <w:r w:rsidR="001E774F" w:rsidRPr="00EC5FDB">
        <w:t xml:space="preserve"> was 49% </w:t>
      </w:r>
      <w:r w:rsidR="001E774F">
        <w:t xml:space="preserve">(range 5-100) </w:t>
      </w:r>
      <w:r w:rsidR="001E774F" w:rsidRPr="00EC5FDB">
        <w:t xml:space="preserve">and 43% </w:t>
      </w:r>
      <w:r w:rsidR="001E774F">
        <w:t xml:space="preserve">(range 10-95) </w:t>
      </w:r>
      <w:r w:rsidR="001E774F" w:rsidRPr="00EC5FDB">
        <w:t xml:space="preserve">whereas the length of hospital stay was 14.3 </w:t>
      </w:r>
      <w:r w:rsidR="001E774F">
        <w:t xml:space="preserve">(range 7-38) </w:t>
      </w:r>
      <w:r w:rsidR="001E774F" w:rsidRPr="00EC5FDB">
        <w:t xml:space="preserve">and 14.7 </w:t>
      </w:r>
      <w:r w:rsidR="001E774F">
        <w:t xml:space="preserve">(3-36) </w:t>
      </w:r>
      <w:r w:rsidR="001E774F" w:rsidRPr="00EC5FDB">
        <w:t>days for adults and paediatric patients, correspondingly.</w:t>
      </w:r>
      <w:r w:rsidR="004D48CD">
        <w:t xml:space="preserve"> 36% (n=5) of adult patients had a SCORTEN score calculated within the first 24 hours of admission.</w:t>
      </w:r>
      <w:r w:rsidR="001E774F" w:rsidRPr="00EC5FDB">
        <w:t xml:space="preserve"> For the adult cohort, we observed a mortality of 2</w:t>
      </w:r>
      <w:r w:rsidR="00D61113">
        <w:t>9</w:t>
      </w:r>
      <w:r w:rsidR="001E774F" w:rsidRPr="00EC5FDB">
        <w:t xml:space="preserve">% (n=4) with a further patient being discharged to palliative care. There was no reported mortality in the paediatric group </w:t>
      </w:r>
      <w:r w:rsidR="00D61113">
        <w:t xml:space="preserve">however </w:t>
      </w:r>
      <w:r w:rsidR="00D61113" w:rsidRPr="00EC5FDB">
        <w:t>44</w:t>
      </w:r>
      <w:r w:rsidR="001E774F" w:rsidRPr="00EC5FDB">
        <w:t xml:space="preserve">% of patients (n=4) developed a </w:t>
      </w:r>
      <w:r w:rsidR="001E774F">
        <w:t xml:space="preserve">functional </w:t>
      </w:r>
      <w:r w:rsidR="001E774F" w:rsidRPr="00EC5FDB">
        <w:t>complication</w:t>
      </w:r>
      <w:r>
        <w:t xml:space="preserve"> (E.g. Phimosis, corneal abrasion, lung disease</w:t>
      </w:r>
      <w:r w:rsidR="00D61113">
        <w:t>, etc</w:t>
      </w:r>
      <w:r>
        <w:t>)</w:t>
      </w:r>
      <w:r w:rsidR="001E774F">
        <w:t xml:space="preserve">. </w:t>
      </w:r>
    </w:p>
    <w:p w14:paraId="2589227F" w14:textId="77777777" w:rsidR="00AB60EF" w:rsidRDefault="00AB60EF" w:rsidP="001E774F">
      <w:pPr>
        <w:spacing w:line="360" w:lineRule="auto"/>
        <w:jc w:val="both"/>
      </w:pPr>
      <w:r>
        <w:rPr>
          <w:b/>
          <w:bCs/>
        </w:rPr>
        <w:t>Conclusion:</w:t>
      </w:r>
      <w:r>
        <w:t xml:space="preserve"> The adult population carry a higher mortality </w:t>
      </w:r>
      <w:r w:rsidR="00D61113">
        <w:t>likely due to</w:t>
      </w:r>
      <w:r>
        <w:t xml:space="preserve"> increased comorbidities. Paediatric patients, in contrast, carry a lower mortality though the complications developed from SJS/TENS may impact their development into adulthood</w:t>
      </w:r>
      <w:r w:rsidR="00D61113">
        <w:t xml:space="preserve"> and later quality of life</w:t>
      </w:r>
      <w:r>
        <w:t xml:space="preserve">. Meticulous and time-conscious MDT input for both adults and paediatric patients is fundamental to lower the mortality and morbidity associated with this condition. </w:t>
      </w:r>
    </w:p>
    <w:p w14:paraId="18FD1F48" w14:textId="77777777" w:rsidR="00D61113" w:rsidRDefault="00D61113" w:rsidP="001E774F">
      <w:pPr>
        <w:spacing w:line="360" w:lineRule="auto"/>
        <w:jc w:val="both"/>
      </w:pPr>
    </w:p>
    <w:p w14:paraId="41A5C906" w14:textId="77777777" w:rsidR="00D61113" w:rsidRPr="00D61113" w:rsidRDefault="00D61113" w:rsidP="001E774F">
      <w:pPr>
        <w:spacing w:line="360" w:lineRule="auto"/>
        <w:jc w:val="both"/>
        <w:rPr>
          <w:b/>
        </w:rPr>
      </w:pPr>
      <w:r w:rsidRPr="00D61113">
        <w:rPr>
          <w:b/>
        </w:rPr>
        <w:t xml:space="preserve">Keywords: </w:t>
      </w:r>
      <w:r w:rsidRPr="00D61113">
        <w:t>Steven—Johnson syndrome; Toxic epidermal necrolysis</w:t>
      </w:r>
    </w:p>
    <w:p w14:paraId="101DCA0B" w14:textId="77777777" w:rsidR="001E774F" w:rsidRPr="001E774F" w:rsidRDefault="001E774F"/>
    <w:sectPr w:rsidR="001E774F" w:rsidRPr="001E77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774F"/>
    <w:rsid w:val="001E774F"/>
    <w:rsid w:val="004D48CD"/>
    <w:rsid w:val="005F04E9"/>
    <w:rsid w:val="006D649E"/>
    <w:rsid w:val="00AB60EF"/>
    <w:rsid w:val="00D61113"/>
    <w:rsid w:val="00F20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1A579"/>
  <w15:docId w15:val="{39E1E3B9-4C28-4F2E-9C32-279F97446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Lancashire Teaching Hospitals</Company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Francisco Moura</dc:creator>
  <cp:lastModifiedBy>Francisco Moura</cp:lastModifiedBy>
  <cp:revision>2</cp:revision>
  <dcterms:created xsi:type="dcterms:W3CDTF">2019-11-23T09:50:00Z</dcterms:created>
  <dcterms:modified xsi:type="dcterms:W3CDTF">2019-11-23T09:50:00Z</dcterms:modified>
</cp:coreProperties>
</file>