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re1"/>
        <w:numPr>
          <w:ilvl w:val="0"/>
          <w:numId w:val="1"/>
        </w:numPr>
        <w:spacing w:before="170" w:after="0"/>
        <w:ind w:left="0" w:right="0" w:hanging="0"/>
        <w:rPr>
          <w:color w:val="0070C0"/>
        </w:rPr>
      </w:pPr>
      <w:r>
        <w:rPr>
          <w:color w:val="0070C0"/>
        </w:rPr>
        <w:t>Roles of Arabidopsis ALDH10 enzymes in plant development and stress resistance</w:t>
      </w:r>
    </w:p>
    <w:p>
      <w:pPr>
        <w:pStyle w:val="Corpsdetexte"/>
        <w:spacing w:lineRule="exact" w:line="198" w:before="73" w:after="0"/>
        <w:ind w:left="100" w:right="5987" w:hanging="0"/>
        <w:rPr>
          <w:rFonts w:ascii="Arial" w:hAnsi="Arial"/>
          <w:lang w:val="fr-FR"/>
        </w:rPr>
      </w:pPr>
      <w:r>
        <w:rPr>
          <w:rFonts w:ascii="Arial" w:hAnsi="Arial"/>
          <w:lang w:val="fr-FR"/>
        </w:rPr>
      </w:r>
    </w:p>
    <w:p>
      <w:pPr>
        <w:pStyle w:val="Normal"/>
        <w:jc w:val="both"/>
        <w:rPr/>
      </w:pPr>
      <w:r>
        <w:rPr>
          <w:rFonts w:cs="Arial" w:ascii="Arial" w:hAnsi="Arial"/>
          <w:sz w:val="18"/>
          <w:szCs w:val="18"/>
          <w:lang w:val="fr-FR"/>
        </w:rPr>
        <w:t>Florian Jacque</w:t>
      </w:r>
      <w:r>
        <w:rPr>
          <w:rFonts w:cs="Arial" w:ascii="Arial" w:hAnsi="Arial"/>
          <w:sz w:val="18"/>
          <w:szCs w:val="18"/>
          <w:lang w:val="fr-FR"/>
        </w:rPr>
        <w:t>s, PhD, Université de Technologie de Compiègne, France</w:t>
      </w:r>
    </w:p>
    <w:p>
      <w:pPr>
        <w:pStyle w:val="Corpsdetexte"/>
        <w:spacing w:lineRule="exact" w:line="198" w:before="73" w:after="0"/>
        <w:ind w:left="100" w:right="5987" w:hanging="0"/>
        <w:rPr>
          <w:rFonts w:ascii="Arial" w:hAnsi="Arial"/>
          <w:lang w:val="fr-FR"/>
        </w:rPr>
      </w:pPr>
      <w:r>
        <w:rPr>
          <w:rFonts w:ascii="Arial" w:hAnsi="Arial"/>
          <w:lang w:val="fr-FR"/>
        </w:rPr>
      </w:r>
    </w:p>
    <w:p>
      <w:pPr>
        <w:pStyle w:val="Corpsdetexte"/>
        <w:spacing w:lineRule="auto" w:line="12"/>
        <w:rPr>
          <w:sz w:val="20"/>
        </w:rPr>
      </w:pPr>
      <w:r>
        <w:rPr>
          <w:sz w:val="20"/>
        </w:rPr>
      </w:r>
    </w:p>
    <w:p>
      <w:pPr>
        <w:sectPr>
          <w:headerReference w:type="default" r:id="rId2"/>
          <w:footerReference w:type="default" r:id="rId3"/>
          <w:type w:val="continuous"/>
          <w:pgSz w:w="11906" w:h="16838"/>
          <w:pgMar w:left="1134" w:right="1134" w:header="1134" w:top="1417" w:footer="1134" w:bottom="1417" w:gutter="0"/>
          <w:formProt w:val="false"/>
          <w:textDirection w:val="lrTb"/>
        </w:sectPr>
      </w:pPr>
    </w:p>
    <w:p>
      <w:pPr>
        <w:pStyle w:val="Titre3"/>
        <w:numPr>
          <w:ilvl w:val="2"/>
          <w:numId w:val="1"/>
        </w:numPr>
        <w:spacing w:before="147" w:after="0"/>
        <w:ind w:left="100" w:right="0" w:hanging="0"/>
        <w:jc w:val="both"/>
        <w:rPr>
          <w:color w:val="BF5A14"/>
        </w:rPr>
      </w:pPr>
      <w:r>
        <w:rPr>
          <w:color w:val="BF5A14"/>
        </w:rPr>
        <w:t>Abstract (300 word limit)</w:t>
      </w:r>
    </w:p>
    <w:p>
      <w:pPr>
        <w:pStyle w:val="Corpsdetexte"/>
        <w:spacing w:lineRule="auto" w:line="278" w:before="90" w:after="0"/>
        <w:ind w:left="100" w:right="0" w:hanging="0"/>
        <w:jc w:val="both"/>
        <w:rPr/>
      </w:pPr>
      <w:r>
        <w:rPr>
          <w:rFonts w:cs="Calibri"/>
        </w:rPr>
        <w:t>Aldehyde dehydrogenase (ALDH) enzymes are able to oxidize a wide range of aldehydes involved in several metabolic pathways, including those leading to resistance to oxidative stress. The ALDH10 family, also called AMADH (amino aldehyde dehydrogenases), is extensively studied in plants due to its role in the synthesis of osmoprotectants such as glycine betaine (GB). However, these enzymes could participate to a large panel of metabolic pathways as they are encoded in non GB accumulating plants, such as Arabidopsis. Furthermore, Arabidopsis ALDH10A8 and ALDH10A9 are highly similar to animal and yeast ALDH enzymes, involved in the carnitine synthesis pathway. They functionally complement a</w:t>
      </w:r>
      <w:r>
        <w:rPr>
          <w:rFonts w:cs="Calibri"/>
          <w:i/>
          <w:iCs/>
        </w:rPr>
        <w:t xml:space="preserve"> Candida albicans</w:t>
      </w:r>
      <w:r>
        <w:rPr>
          <w:rFonts w:cs="Calibri"/>
        </w:rPr>
        <w:t xml:space="preserve"> mutant unable to synthesize </w:t>
      </w:r>
      <w:r>
        <w:rPr>
          <w:rFonts w:cs="Arial" w:ascii="Arial" w:hAnsi="Arial"/>
        </w:rPr>
        <w:t>γ</w:t>
      </w:r>
      <w:r>
        <w:rPr>
          <w:rFonts w:cs="Calibri"/>
        </w:rPr>
        <w:t xml:space="preserve">-butyrobetaine by restoring the carnitine associated fatty acid catabolism. Considering the wide range of possible substrates of plant ALDH10 enzymes, we investigate the capability of the plastidial ALDH10A8 and the peroxisomal ALDH10A9 to oxidize substrates in order to clarify their links with metabolic pathways such as </w:t>
      </w:r>
      <w:r>
        <w:rPr>
          <w:rFonts w:cs="Arial" w:ascii="Arial" w:hAnsi="Arial"/>
        </w:rPr>
        <w:t>γ</w:t>
      </w:r>
      <w:r>
        <w:rPr>
          <w:rFonts w:cs="Calibri"/>
        </w:rPr>
        <w:t xml:space="preserve">-aminobutyric acid GABA synthesis, carnitine or GB biosynthesis. Here, we present activity measurements on purified enzymes overexpressed from </w:t>
      </w:r>
      <w:r>
        <w:rPr>
          <w:rFonts w:cs="Calibri"/>
          <w:i/>
          <w:iCs/>
        </w:rPr>
        <w:t>Escherichia coli</w:t>
      </w:r>
      <w:r>
        <w:rPr>
          <w:rFonts w:cs="Calibri"/>
        </w:rPr>
        <w:t>, and discuss the developmental patterns of several Arabidopsis knockout mutant lines affected in the activity of both enzymes.</w:t>
      </w:r>
    </w:p>
    <w:p>
      <w:pPr>
        <w:pStyle w:val="Normal"/>
        <w:spacing w:lineRule="exact" w:line="204"/>
        <w:rPr>
          <w:rFonts w:ascii="Arial" w:hAnsi="Arial"/>
          <w:b/>
          <w:b/>
          <w:color w:val="BF5A14"/>
          <w:sz w:val="20"/>
        </w:rPr>
      </w:pPr>
      <w:r>
        <w:br w:type="column"/>
      </w:r>
      <w:r>
        <w:rPr>
          <w:rFonts w:ascii="Arial" w:hAnsi="Arial"/>
          <w:b/>
          <w:color w:val="BF5A14"/>
          <w:sz w:val="20"/>
        </w:rPr>
        <w:t>Recent Publications (minimum 5)</w:t>
      </w:r>
    </w:p>
    <w:p>
      <w:pPr>
        <w:pStyle w:val="ListParagraph"/>
        <w:numPr>
          <w:ilvl w:val="0"/>
          <w:numId w:val="2"/>
        </w:numPr>
        <w:tabs>
          <w:tab w:val="left" w:pos="384" w:leader="none"/>
        </w:tabs>
        <w:spacing w:lineRule="exact" w:line="216"/>
        <w:rPr>
          <w:sz w:val="18"/>
        </w:rPr>
      </w:pPr>
      <w:r>
        <w:rPr>
          <w:sz w:val="18"/>
        </w:rPr>
        <w:t>Kopecny D et al. (2013) Identifying critical residues for substrate specificity and trapping a thiohemiacetal intermediate. The journal of biological chemistry 288:9491-9507.</w:t>
      </w:r>
    </w:p>
    <w:p>
      <w:pPr>
        <w:pStyle w:val="ListParagraph"/>
        <w:numPr>
          <w:ilvl w:val="0"/>
          <w:numId w:val="2"/>
        </w:numPr>
        <w:tabs>
          <w:tab w:val="left" w:pos="384" w:leader="none"/>
        </w:tabs>
        <w:spacing w:lineRule="exact" w:line="216"/>
        <w:rPr>
          <w:sz w:val="18"/>
        </w:rPr>
      </w:pPr>
      <w:r>
        <w:rPr>
          <w:sz w:val="18"/>
        </w:rPr>
        <w:t>Tylichovà M (2010) Structural and Functional Characterization of Plant Aminoaldehyde Dehydrogenase from Pisum sativum with a Broad Specificity of Natural and Syntehtic Aminoaldehydes Journal of molecular biology.  396:870-882.</w:t>
      </w:r>
    </w:p>
    <w:p>
      <w:pPr>
        <w:pStyle w:val="ListParagraph"/>
        <w:numPr>
          <w:ilvl w:val="0"/>
          <w:numId w:val="2"/>
        </w:numPr>
        <w:tabs>
          <w:tab w:val="left" w:pos="384" w:leader="none"/>
        </w:tabs>
        <w:spacing w:lineRule="exact" w:line="216"/>
        <w:rPr>
          <w:sz w:val="18"/>
        </w:rPr>
      </w:pPr>
      <w:r>
        <w:rPr>
          <w:sz w:val="18"/>
        </w:rPr>
        <w:t>Rippa S, Zhao Y, Merlier F., Charrier A., Perrin Y (2012) The carnitine biosynthetic pathway in Arabidopsis thaliana shares similar features with the pathway of mammals and fungi. Plant physiology and biochemistry 60:109-114.</w:t>
      </w:r>
    </w:p>
    <w:p>
      <w:pPr>
        <w:pStyle w:val="ListParagraph"/>
        <w:numPr>
          <w:ilvl w:val="0"/>
          <w:numId w:val="2"/>
        </w:numPr>
        <w:tabs>
          <w:tab w:val="left" w:pos="384" w:leader="none"/>
        </w:tabs>
        <w:spacing w:lineRule="exact" w:line="216"/>
        <w:rPr>
          <w:sz w:val="18"/>
        </w:rPr>
      </w:pPr>
      <w:r>
        <w:rPr>
          <w:sz w:val="18"/>
        </w:rPr>
        <w:t>Nguyen P et al. (2016) Acylcarnitines participate in developmental processes associated to lipid metabolism in plants. Planta 243:1011-1022</w:t>
      </w:r>
    </w:p>
    <w:p>
      <w:pPr>
        <w:pStyle w:val="ListParagraph"/>
        <w:numPr>
          <w:ilvl w:val="0"/>
          <w:numId w:val="2"/>
        </w:numPr>
        <w:tabs>
          <w:tab w:val="left" w:pos="384" w:leader="none"/>
        </w:tabs>
        <w:spacing w:lineRule="exact" w:line="216" w:before="103" w:after="0"/>
        <w:rPr>
          <w:rFonts w:ascii="Calibri" w:hAnsi="Calibri"/>
          <w:sz w:val="18"/>
        </w:rPr>
      </w:pPr>
      <w:r>
        <w:rPr>
          <w:sz w:val="18"/>
        </w:rPr>
        <w:t>Missihoun TD, Schmitz J, Klug R, Kirch HH, Bartels D (2011) Betaine aldehyde dehydrogenase genes from Arabidopsis with different sub-cellular localization affect stress responses. Planta 233:369–382</w:t>
      </w:r>
    </w:p>
    <w:p>
      <w:pPr>
        <w:sectPr>
          <w:type w:val="continuous"/>
          <w:pgSz w:w="11906" w:h="16838"/>
          <w:pgMar w:left="1134" w:right="1134" w:header="1134" w:top="1417" w:footer="1134" w:bottom="1417" w:gutter="0"/>
          <w:cols w:num="2" w:equalWidth="false" w:sep="false">
            <w:col w:w="4693" w:space="138"/>
            <w:col w:w="4806"/>
          </w:cols>
          <w:formProt w:val="false"/>
          <w:textDirection w:val="lrTb"/>
        </w:sectPr>
      </w:pPr>
    </w:p>
    <w:p>
      <w:pPr>
        <w:pStyle w:val="Corpsdetexte"/>
        <w:spacing w:lineRule="exact" w:line="40"/>
        <w:ind w:left="2202" w:right="0" w:hanging="0"/>
        <w:rPr>
          <w:rFonts w:ascii="Calibri" w:hAnsi="Calibri"/>
          <w:sz w:val="4"/>
        </w:rPr>
      </w:pPr>
      <w:r>
        <w:rPr>
          <w:rFonts w:ascii="Calibri" w:hAnsi="Calibri"/>
          <w:sz w:val="4"/>
        </w:rPr>
      </w:r>
    </w:p>
    <w:p>
      <w:pPr>
        <w:pStyle w:val="Normal"/>
        <w:spacing w:before="92" w:after="0"/>
        <w:ind w:left="0" w:right="4234" w:hanging="0"/>
        <w:rPr/>
      </w:pPr>
      <w:r>
        <w:rPr/>
        <w:t xml:space="preserve">              </w:t>
      </w:r>
    </w:p>
    <w:p>
      <w:pPr>
        <w:pStyle w:val="Normal"/>
        <w:spacing w:before="62" w:after="0"/>
        <w:ind w:left="4217" w:right="4235" w:hanging="0"/>
        <w:jc w:val="center"/>
        <w:rPr>
          <w:rFonts w:ascii="Arial" w:hAnsi="Arial"/>
          <w:sz w:val="14"/>
        </w:rPr>
      </w:pPr>
      <w:r>
        <w:rPr>
          <w:rFonts w:ascii="Arial" w:hAnsi="Arial"/>
          <w:sz w:val="14"/>
        </w:rPr>
        <w:t>Email: florian.jacques@u</w:t>
      </w:r>
      <w:r>
        <w:rPr>
          <w:rFonts w:ascii="Arial" w:hAnsi="Arial"/>
          <w:sz w:val="14"/>
        </w:rPr>
        <w:t>t</w:t>
      </w:r>
      <w:r>
        <w:rPr>
          <w:rFonts w:ascii="Arial" w:hAnsi="Arial"/>
          <w:sz w:val="14"/>
        </w:rPr>
        <w:t>c.fr</w:t>
      </w:r>
    </w:p>
    <w:p>
      <w:pPr>
        <w:pStyle w:val="Corpsdetexte"/>
        <w:spacing w:before="2" w:after="0"/>
        <w:rPr>
          <w:rFonts w:ascii="Arial" w:hAnsi="Arial"/>
          <w:sz w:val="19"/>
        </w:rPr>
      </w:pPr>
      <w:r>
        <w:rPr>
          <w:rFonts w:ascii="Arial" w:hAnsi="Arial"/>
          <w:sz w:val="19"/>
        </w:rPr>
      </w:r>
    </w:p>
    <w:p>
      <w:pPr>
        <w:pStyle w:val="Corpsdetexte"/>
        <w:rPr>
          <w:rFonts w:ascii="Arial" w:hAnsi="Arial"/>
          <w:sz w:val="20"/>
        </w:rPr>
      </w:pPr>
      <w:r>
        <w:rPr>
          <w:rFonts w:ascii="Arial" w:hAnsi="Arial"/>
          <w:sz w:val="20"/>
        </w:rPr>
      </w:r>
    </w:p>
    <w:p>
      <w:pPr>
        <w:pStyle w:val="Corpsdetexte"/>
        <w:rPr>
          <w:rFonts w:ascii="Arial" w:hAnsi="Arial"/>
          <w:sz w:val="20"/>
        </w:rPr>
      </w:pPr>
      <w:r>
        <w:rPr>
          <w:rFonts w:ascii="Arial" w:hAnsi="Arial"/>
          <w:sz w:val="20"/>
        </w:rPr>
      </w:r>
    </w:p>
    <w:p>
      <w:pPr>
        <w:pStyle w:val="Corpsdetexte"/>
        <w:spacing w:before="7" w:after="0"/>
        <w:rPr>
          <w:rFonts w:ascii="Arial" w:hAnsi="Arial"/>
          <w:sz w:val="29"/>
        </w:rPr>
      </w:pPr>
      <w:r>
        <w:rPr>
          <w:rFonts w:ascii="Arial" w:hAnsi="Arial"/>
          <w:sz w:val="29"/>
        </w:rPr>
      </w:r>
    </w:p>
    <w:p>
      <w:pPr>
        <w:pStyle w:val="Normal"/>
        <w:spacing w:before="39" w:after="0"/>
        <w:ind w:left="100" w:right="0" w:hanging="0"/>
        <w:rPr>
          <w:rFonts w:ascii="Minion Pro" w:hAnsi="Minion Pro"/>
          <w:b/>
          <w:b/>
          <w:sz w:val="20"/>
        </w:rPr>
      </w:pPr>
      <w:r>
        <w:rPr>
          <w:rFonts w:ascii="Minion Pro" w:hAnsi="Minion Pro"/>
          <w:b/>
          <w:sz w:val="20"/>
        </w:rPr>
        <w:t>Notes/Comments:</w:t>
      </w:r>
    </w:p>
    <w:p>
      <w:pPr>
        <w:sectPr>
          <w:type w:val="continuous"/>
          <w:pgSz w:w="11906" w:h="16838"/>
          <w:pgMar w:left="1134" w:right="1134" w:header="1134" w:top="1417" w:footer="1134" w:bottom="1417" w:gutter="0"/>
          <w:formProt w:val="false"/>
          <w:textDirection w:val="lrTb"/>
        </w:sectPr>
      </w:pPr>
    </w:p>
    <w:p>
      <w:pPr>
        <w:pStyle w:val="Corpsdetexte"/>
        <w:spacing w:before="3" w:after="0"/>
        <w:rPr/>
      </w:pPr>
      <w:r>
        <w:rPr/>
      </w:r>
    </w:p>
    <w:sectPr>
      <w:type w:val="continuous"/>
      <w:pgSz w:w="11906" w:h="16838"/>
      <w:pgMar w:left="1134" w:right="1134" w:header="1134" w:top="1417" w:footer="1134" w:bottom="1417" w:gutter="0"/>
      <w:cols w:num="2" w:equalWidth="false" w:sep="false">
        <w:col w:w="4685" w:space="138"/>
        <w:col w:w="4814"/>
      </w:cols>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w Cen MT">
    <w:charset w:val="00"/>
    <w:family w:val="roman"/>
    <w:pitch w:val="variable"/>
  </w:font>
  <w:font w:name="Minion Pro">
    <w:charset w:val="00"/>
    <w:family w:val="roman"/>
    <w:pitch w:val="variable"/>
  </w:font>
  <w:font w:name="Arial">
    <w:charset w:val="00"/>
    <w:family w:val="roman"/>
    <w:pitch w:val="variable"/>
  </w:font>
  <w:font w:name="Tahoma">
    <w:charset w:val="00"/>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rpsdetexte"/>
      <w:spacing w:lineRule="auto" w:line="12"/>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orpsdetexte"/>
      <w:spacing w:lineRule="auto" w:line="12"/>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Titre1"/>
      <w:numFmt w:val="none"/>
      <w:suff w:val="nothing"/>
      <w:lvlText w:val=""/>
      <w:lvlJc w:val="left"/>
      <w:pPr>
        <w:tabs>
          <w:tab w:val="num" w:pos="432"/>
        </w:tabs>
        <w:ind w:left="432" w:hanging="432"/>
      </w:pPr>
    </w:lvl>
    <w:lvl w:ilvl="1">
      <w:start w:val="1"/>
      <w:pStyle w:val="Titre2"/>
      <w:numFmt w:val="none"/>
      <w:suff w:val="nothing"/>
      <w:lvlText w:val=""/>
      <w:lvlJc w:val="left"/>
      <w:pPr>
        <w:tabs>
          <w:tab w:val="num" w:pos="576"/>
        </w:tabs>
        <w:ind w:left="576" w:hanging="576"/>
      </w:pPr>
    </w:lvl>
    <w:lvl w:ilvl="2">
      <w:start w:val="1"/>
      <w:pStyle w:val="Titre3"/>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lvl w:ilvl="0">
      <w:start w:val="1"/>
      <w:numFmt w:val="decimal"/>
      <w:lvlText w:val="%1."/>
      <w:lvlJc w:val="left"/>
      <w:pPr>
        <w:ind w:left="383" w:hanging="284"/>
      </w:pPr>
      <w:rPr>
        <w:sz w:val="18"/>
        <w:spacing w:val="-16"/>
        <w:szCs w:val="18"/>
        <w:w w:val="100"/>
        <w:rFonts w:eastAsia="Calibri" w:cs="Calibri"/>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num w:numId="1">
    <w:abstractNumId w:val="1"/>
  </w:num>
  <w:num w:numId="2">
    <w:abstractNumId w:val="2"/>
  </w:num>
</w:numbering>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SimSun" w:cs="Tahoma"/>
        <w:sz w:val="22"/>
        <w:szCs w:val="22"/>
        <w:lang w:val="en-US" w:eastAsia="en-US" w:bidi="ar-SA"/>
      </w:rPr>
    </w:rPrDefault>
    <w:pPrDefault>
      <w:pPr/>
    </w:pPrDefault>
  </w:docDefaults>
  <w:style w:type="paragraph" w:styleId="Normal">
    <w:name w:val="Normal"/>
    <w:qFormat/>
    <w:pPr>
      <w:widowControl/>
      <w:numPr>
        <w:ilvl w:val="0"/>
        <w:numId w:val="0"/>
      </w:numPr>
      <w:kinsoku w:val="true"/>
      <w:overflowPunct w:val="true"/>
      <w:autoSpaceDE w:val="true"/>
      <w:bidi w:val="0"/>
    </w:pPr>
    <w:rPr>
      <w:rFonts w:ascii="Tw Cen MT" w:hAnsi="Tw Cen MT" w:eastAsia="Tw Cen MT" w:cs="Tw Cen MT"/>
      <w:color w:val="auto"/>
      <w:sz w:val="22"/>
      <w:szCs w:val="22"/>
      <w:lang w:val="en-US" w:eastAsia="en-US" w:bidi="ar-SA"/>
    </w:rPr>
  </w:style>
  <w:style w:type="paragraph" w:styleId="Titre1">
    <w:name w:val="Heading 1"/>
    <w:basedOn w:val="Normal"/>
    <w:next w:val="Corpsdetexte"/>
    <w:qFormat/>
    <w:pPr>
      <w:numPr>
        <w:ilvl w:val="0"/>
        <w:numId w:val="1"/>
      </w:numPr>
      <w:spacing w:lineRule="exact" w:line="400" w:before="47" w:after="0"/>
      <w:ind w:left="100" w:right="0" w:hanging="0"/>
      <w:outlineLvl w:val="0"/>
      <w:outlineLvl w:val="0"/>
    </w:pPr>
    <w:rPr>
      <w:rFonts w:ascii="Minion Pro" w:hAnsi="Minion Pro" w:eastAsia="Minion Pro" w:cs="Minion Pro"/>
      <w:b/>
      <w:bCs/>
      <w:sz w:val="36"/>
      <w:szCs w:val="36"/>
    </w:rPr>
  </w:style>
  <w:style w:type="paragraph" w:styleId="Titre2">
    <w:name w:val="Heading 2"/>
    <w:basedOn w:val="Normal"/>
    <w:next w:val="Corpsdetexte"/>
    <w:qFormat/>
    <w:pPr>
      <w:numPr>
        <w:ilvl w:val="1"/>
        <w:numId w:val="1"/>
      </w:numPr>
      <w:ind w:left="100" w:right="0" w:hanging="0"/>
      <w:outlineLvl w:val="1"/>
      <w:outlineLvl w:val="1"/>
    </w:pPr>
    <w:rPr>
      <w:rFonts w:ascii="Minion Pro" w:hAnsi="Minion Pro" w:eastAsia="Minion Pro" w:cs="Minion Pro"/>
      <w:sz w:val="24"/>
      <w:szCs w:val="24"/>
    </w:rPr>
  </w:style>
  <w:style w:type="paragraph" w:styleId="Titre3">
    <w:name w:val="Heading 3"/>
    <w:basedOn w:val="Normal"/>
    <w:next w:val="Corpsdetexte"/>
    <w:qFormat/>
    <w:pPr>
      <w:numPr>
        <w:ilvl w:val="2"/>
        <w:numId w:val="1"/>
      </w:numPr>
      <w:ind w:left="100" w:right="0" w:hanging="0"/>
      <w:outlineLvl w:val="2"/>
      <w:outlineLvl w:val="2"/>
    </w:pPr>
    <w:rPr>
      <w:rFonts w:ascii="Arial" w:hAnsi="Arial" w:eastAsia="Arial" w:cs="Arial"/>
      <w:b/>
      <w:bCs/>
      <w:sz w:val="20"/>
      <w:szCs w:val="20"/>
    </w:rPr>
  </w:style>
  <w:style w:type="character" w:styleId="DefaultParagraphFont">
    <w:name w:val="Default Paragraph Font"/>
    <w:qFormat/>
    <w:rPr/>
  </w:style>
  <w:style w:type="character" w:styleId="EntteCar">
    <w:name w:val="En-tête Car"/>
    <w:basedOn w:val="DefaultParagraphFont"/>
    <w:qFormat/>
    <w:rPr>
      <w:rFonts w:ascii="Tw Cen MT" w:hAnsi="Tw Cen MT" w:eastAsia="Tw Cen MT" w:cs="Tw Cen MT"/>
    </w:rPr>
  </w:style>
  <w:style w:type="character" w:styleId="PieddepageCar">
    <w:name w:val="Pied de page Car"/>
    <w:basedOn w:val="DefaultParagraphFont"/>
    <w:qFormat/>
    <w:rPr>
      <w:rFonts w:ascii="Tw Cen MT" w:hAnsi="Tw Cen MT" w:eastAsia="Tw Cen MT" w:cs="Tw Cen MT"/>
    </w:rPr>
  </w:style>
  <w:style w:type="character" w:styleId="TextedebullesCar">
    <w:name w:val="Texte de bulles Car"/>
    <w:basedOn w:val="DefaultParagraphFont"/>
    <w:qFormat/>
    <w:rPr>
      <w:rFonts w:ascii="Tahoma" w:hAnsi="Tahoma" w:eastAsia="Tw Cen MT" w:cs="Tahoma"/>
      <w:sz w:val="16"/>
      <w:szCs w:val="16"/>
    </w:rPr>
  </w:style>
  <w:style w:type="character" w:styleId="LienInternet">
    <w:name w:val="Lien Internet"/>
    <w:basedOn w:val="DefaultParagraphFont"/>
    <w:rPr>
      <w:color w:val="0000FF"/>
      <w:u w:val="single"/>
      <w:lang w:val="zxx" w:eastAsia="zxx" w:bidi="zxx"/>
    </w:rPr>
  </w:style>
  <w:style w:type="character" w:styleId="CorpsdetexteCar">
    <w:name w:val="Corps de texte Car"/>
    <w:basedOn w:val="DefaultParagraphFont"/>
    <w:qFormat/>
    <w:rPr>
      <w:rFonts w:ascii="Tw Cen MT" w:hAnsi="Tw Cen MT" w:eastAsia="Tw Cen MT" w:cs="Tw Cen MT"/>
      <w:sz w:val="18"/>
      <w:szCs w:val="18"/>
    </w:rPr>
  </w:style>
  <w:style w:type="character" w:styleId="Titre1Car">
    <w:name w:val="Titre 1 Car"/>
    <w:basedOn w:val="DefaultParagraphFont"/>
    <w:qFormat/>
    <w:rPr>
      <w:rFonts w:ascii="Minion Pro" w:hAnsi="Minion Pro" w:eastAsia="Minion Pro" w:cs="Minion Pro"/>
      <w:b/>
      <w:bCs/>
      <w:sz w:val="36"/>
      <w:szCs w:val="36"/>
    </w:rPr>
  </w:style>
  <w:style w:type="character" w:styleId="ListLabel1">
    <w:name w:val="ListLabel 1"/>
    <w:qFormat/>
    <w:rPr>
      <w:rFonts w:eastAsia="Calibri" w:cs="Calibri"/>
      <w:spacing w:val="-16"/>
      <w:w w:val="100"/>
      <w:sz w:val="18"/>
      <w:szCs w:val="18"/>
    </w:rPr>
  </w:style>
  <w:style w:type="character" w:styleId="Caractresdenumrotation">
    <w:name w:val="Caractères de numérotation"/>
    <w:qFormat/>
    <w:rPr/>
  </w:style>
  <w:style w:type="paragraph" w:styleId="Titre">
    <w:name w:val="Titre"/>
    <w:basedOn w:val="Normal"/>
    <w:next w:val="Corpsdetexte"/>
    <w:qFormat/>
    <w:pPr>
      <w:keepNext/>
      <w:spacing w:before="240" w:after="120"/>
    </w:pPr>
    <w:rPr>
      <w:rFonts w:ascii="Arial" w:hAnsi="Arial" w:eastAsia="Microsoft YaHei" w:cs="Lucida Sans"/>
      <w:sz w:val="28"/>
      <w:szCs w:val="28"/>
    </w:rPr>
  </w:style>
  <w:style w:type="paragraph" w:styleId="Corpsdetexte">
    <w:name w:val="Body Text"/>
    <w:basedOn w:val="Normal"/>
    <w:pPr>
      <w:numPr>
        <w:ilvl w:val="0"/>
        <w:numId w:val="0"/>
      </w:numPr>
    </w:pPr>
    <w:rPr>
      <w:sz w:val="18"/>
      <w:szCs w:val="18"/>
    </w:rPr>
  </w:style>
  <w:style w:type="paragraph" w:styleId="Liste">
    <w:name w:val="List"/>
    <w:basedOn w:val="Corpsdetexte"/>
    <w:pPr/>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numPr>
        <w:ilvl w:val="0"/>
        <w:numId w:val="0"/>
      </w:numPr>
      <w:spacing w:lineRule="exact" w:line="200" w:before="90" w:after="0"/>
      <w:ind w:left="383" w:right="0" w:hanging="283"/>
      <w:jc w:val="both"/>
    </w:pPr>
    <w:rPr>
      <w:rFonts w:ascii="Calibri" w:hAnsi="Calibri" w:eastAsia="Calibri" w:cs="Calibri"/>
    </w:rPr>
  </w:style>
  <w:style w:type="paragraph" w:styleId="TableParagraph">
    <w:name w:val="Table Paragraph"/>
    <w:basedOn w:val="Normal"/>
    <w:qFormat/>
    <w:pPr>
      <w:numPr>
        <w:ilvl w:val="0"/>
        <w:numId w:val="0"/>
      </w:numPr>
    </w:pPr>
    <w:rPr/>
  </w:style>
  <w:style w:type="paragraph" w:styleId="Entte">
    <w:name w:val="Header"/>
    <w:basedOn w:val="Normal"/>
    <w:pPr>
      <w:numPr>
        <w:ilvl w:val="0"/>
        <w:numId w:val="0"/>
      </w:numPr>
      <w:suppressLineNumbers/>
      <w:tabs>
        <w:tab w:val="center" w:pos="4513" w:leader="none"/>
        <w:tab w:val="right" w:pos="9026" w:leader="none"/>
      </w:tabs>
    </w:pPr>
    <w:rPr/>
  </w:style>
  <w:style w:type="paragraph" w:styleId="Pieddepage">
    <w:name w:val="Footer"/>
    <w:basedOn w:val="Normal"/>
    <w:pPr>
      <w:numPr>
        <w:ilvl w:val="0"/>
        <w:numId w:val="0"/>
      </w:numPr>
      <w:suppressLineNumbers/>
      <w:tabs>
        <w:tab w:val="center" w:pos="4513" w:leader="none"/>
        <w:tab w:val="right" w:pos="9026" w:leader="none"/>
      </w:tabs>
    </w:pPr>
    <w:rPr/>
  </w:style>
  <w:style w:type="paragraph" w:styleId="BalloonText">
    <w:name w:val="Balloon Text"/>
    <w:basedOn w:val="Normal"/>
    <w:qFormat/>
    <w:pPr>
      <w:numPr>
        <w:ilvl w:val="0"/>
        <w:numId w:val="0"/>
      </w:numPr>
    </w:pPr>
    <w:rPr>
      <w:rFonts w:ascii="Tahoma" w:hAnsi="Tahoma" w:cs="Tahoma"/>
      <w:sz w:val="16"/>
      <w:szCs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10</TotalTime>
  <Application>LibreOffice/5.2.5.1$Windows_x86 LibreOffice_project/0312e1a284a7d50ca85a365c316c7abbf20a4d22</Application>
  <Pages>1</Pages>
  <Words>356</Words>
  <Characters>2231</Characters>
  <CharactersWithSpaces>2584</CharactersWithSpaces>
  <Paragraphs>13</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2016-08-31T10:27:00Z</dcterms:created>
  <dc:creator>mehaboobi shaik</dc:creator>
  <dc:description/>
  <dc:language>fr-FR</dc:language>
  <cp:lastModifiedBy/>
  <dcterms:modified xsi:type="dcterms:W3CDTF">2017-04-29T23:41:04Z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