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wmf" ContentType="image/x-wmf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lineRule="auto" w:line="240" w:before="170" w:after="0"/>
        <w:ind w:left="0" w:hanging="0"/>
        <w:jc w:val="both"/>
        <w:rPr/>
      </w:pPr>
      <w:r>
        <w:rPr>
          <w:rFonts w:cs="Times New Roman" w:ascii="Times New Roman" w:hAnsi="Times New Roman"/>
          <w:color w:val="337AB7"/>
          <w:sz w:val="22"/>
          <w:szCs w:val="18"/>
        </w:rPr>
        <w:t xml:space="preserve">Title: </w:t>
      </w:r>
      <w:bookmarkStart w:id="0" w:name="m_-1308152076177793188gmail-result_box2"/>
      <w:bookmarkEnd w:id="0"/>
      <w:r>
        <w:rPr>
          <w:rFonts w:cs="Times New Roman" w:ascii="Times New Roman" w:hAnsi="Times New Roman"/>
          <w:color w:val="337AB7"/>
          <w:sz w:val="22"/>
          <w:szCs w:val="18"/>
        </w:rPr>
        <w:t xml:space="preserve">Effect of </w:t>
      </w:r>
      <w:r>
        <w:rPr>
          <w:rFonts w:cs="Times New Roman" w:ascii="Times New Roman" w:hAnsi="Times New Roman"/>
          <w:i/>
          <w:iCs/>
          <w:color w:val="337AB7"/>
          <w:sz w:val="22"/>
          <w:szCs w:val="18"/>
        </w:rPr>
        <w:t>rolC</w:t>
      </w:r>
      <w:r>
        <w:rPr>
          <w:rFonts w:cs="Times New Roman" w:ascii="Times New Roman" w:hAnsi="Times New Roman"/>
          <w:color w:val="337AB7"/>
          <w:sz w:val="22"/>
          <w:szCs w:val="18"/>
        </w:rPr>
        <w:t xml:space="preserve"> expression on biochemical composition and </w:t>
      </w:r>
      <w:bookmarkStart w:id="1" w:name="m_-1308152076177793188gmail-result_box1"/>
      <w:bookmarkEnd w:id="1"/>
      <w:r>
        <w:rPr>
          <w:rFonts w:cs="Times New Roman" w:ascii="Times New Roman" w:hAnsi="Times New Roman"/>
          <w:color w:val="337AB7"/>
          <w:sz w:val="22"/>
          <w:szCs w:val="18"/>
        </w:rPr>
        <w:t xml:space="preserve">pathogen </w:t>
      </w:r>
      <w:bookmarkStart w:id="2" w:name="m_-1308152076177793188gmail-result_box"/>
      <w:bookmarkEnd w:id="2"/>
      <w:r>
        <w:rPr>
          <w:rFonts w:cs="Times New Roman" w:ascii="Times New Roman" w:hAnsi="Times New Roman"/>
          <w:color w:val="337AB7"/>
          <w:sz w:val="22"/>
          <w:szCs w:val="18"/>
        </w:rPr>
        <w:t xml:space="preserve">resistance in </w:t>
      </w:r>
      <w:r>
        <w:rPr>
          <w:rFonts w:cs="Times New Roman" w:ascii="Times New Roman" w:hAnsi="Times New Roman"/>
          <w:i/>
          <w:iCs/>
          <w:color w:val="337AB7"/>
          <w:sz w:val="22"/>
          <w:szCs w:val="18"/>
        </w:rPr>
        <w:t xml:space="preserve">Nicotiana tabacum </w:t>
      </w:r>
    </w:p>
    <w:p>
      <w:pPr>
        <w:pStyle w:val="Style19"/>
        <w:spacing w:lineRule="exact" w:line="198" w:before="73" w:after="0"/>
        <w:ind w:right="5987" w:hanging="0"/>
        <w:rPr/>
      </w:pPr>
      <w:r>
        <w:rPr>
          <w:rFonts w:cs="Times New Roman" w:ascii="Times New Roman" w:hAnsi="Times New Roman"/>
          <w:sz w:val="22"/>
        </w:rPr>
        <w:t>Tatiana V. Matveeva*, Irina Isaeva, Sofie V. Sokornova, St. Petersburg State University, Russia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600" w:header="541" w:top="1740" w:footer="642" w:bottom="840" w:gutter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3"/>
        <w:spacing w:before="147" w:after="0"/>
        <w:ind w:left="0" w:hanging="0"/>
        <w:jc w:val="both"/>
        <w:rPr/>
      </w:pPr>
      <w:r>
        <w:rPr>
          <w:rFonts w:cs="Times New Roman" w:ascii="Times New Roman" w:hAnsi="Times New Roman"/>
          <w:color w:val="BF5A14"/>
          <w:sz w:val="18"/>
          <w:szCs w:val="18"/>
        </w:rPr>
        <w:t xml:space="preserve">Abstract </w:t>
      </w:r>
    </w:p>
    <w:p>
      <w:pPr>
        <w:pStyle w:val="Style19"/>
        <w:spacing w:lineRule="auto" w:line="276" w:before="90" w:after="0"/>
        <w:jc w:val="both"/>
        <w:rPr/>
      </w:pPr>
      <w:r>
        <w:rPr>
          <w:rFonts w:cs="Times New Roman" w:ascii="Times New Roman" w:hAnsi="Times New Roman"/>
        </w:rPr>
        <w:t xml:space="preserve">Statement of the Problem: </w:t>
      </w:r>
      <w:r>
        <w:rPr>
          <w:rFonts w:cs="Times New Roman" w:ascii="Times New Roman" w:hAnsi="Times New Roman"/>
        </w:rPr>
        <w:t>Plant g</w:t>
      </w:r>
      <w:r>
        <w:rPr>
          <w:rFonts w:cs="Times New Roman" w:ascii="Times New Roman" w:hAnsi="Times New Roman"/>
        </w:rPr>
        <w:t xml:space="preserve">enetic engineering </w:t>
      </w:r>
      <w:r>
        <w:rPr>
          <w:rFonts w:cs="Times New Roman" w:ascii="Times New Roman" w:hAnsi="Times New Roman"/>
        </w:rPr>
        <w:t xml:space="preserve">mostly </w:t>
      </w:r>
      <w:r>
        <w:rPr>
          <w:rFonts w:cs="Times New Roman" w:ascii="Times New Roman" w:hAnsi="Times New Roman"/>
        </w:rPr>
        <w:t xml:space="preserve">uses </w:t>
      </w:r>
      <w:r>
        <w:rPr>
          <w:rFonts w:cs="Times New Roman" w:ascii="Times New Roman" w:hAnsi="Times New Roman"/>
          <w:i/>
          <w:iCs/>
        </w:rPr>
        <w:t>Agrobacterium</w:t>
      </w:r>
      <w:r>
        <w:rPr>
          <w:rFonts w:cs="Times New Roman" w:ascii="Times New Roman" w:hAnsi="Times New Roman"/>
        </w:rPr>
        <w:t xml:space="preserve">-mediated transformation to introduce novel genes. In nature, insertion of T-DNA into the plant genome and its subsequent transfer via sexual reproduction has been shown for several species </w:t>
      </w:r>
      <w:r>
        <w:rPr>
          <w:rFonts w:cs="Times New Roman" w:ascii="Times New Roman" w:hAnsi="Times New Roman"/>
        </w:rPr>
        <w:t xml:space="preserve">of </w:t>
      </w:r>
      <w:r>
        <w:rPr>
          <w:rFonts w:cs="Times New Roman" w:ascii="Times New Roman" w:hAnsi="Times New Roman"/>
          <w:i/>
          <w:iCs/>
        </w:rPr>
        <w:t>Nicotiana, Ipomoea</w:t>
      </w:r>
      <w:r>
        <w:rPr>
          <w:rFonts w:cs="Times New Roman" w:ascii="Times New Roman" w:hAnsi="Times New Roman"/>
          <w:iCs/>
        </w:rPr>
        <w:t>,</w:t>
      </w:r>
      <w:r>
        <w:rPr>
          <w:rFonts w:cs="Times New Roman" w:ascii="Times New Roman" w:hAnsi="Times New Roman"/>
        </w:rPr>
        <w:t xml:space="preserve"> and </w:t>
      </w:r>
      <w:r>
        <w:rPr>
          <w:rFonts w:cs="Times New Roman" w:ascii="Times New Roman" w:hAnsi="Times New Roman"/>
          <w:i/>
          <w:iCs/>
        </w:rPr>
        <w:t>Linaria</w:t>
      </w:r>
      <w:r>
        <w:rPr>
          <w:rFonts w:cs="Times New Roman" w:ascii="Times New Roman" w:hAnsi="Times New Roman"/>
        </w:rPr>
        <w:t>. Such T-DNA was named “cellular T-DNA” (cT-DNA).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</w:rPr>
        <w:t xml:space="preserve">One of the most conserved genes in cT-DNA is </w:t>
      </w:r>
      <w:r>
        <w:rPr>
          <w:rFonts w:cs="Times New Roman" w:ascii="Times New Roman" w:hAnsi="Times New Roman"/>
          <w:i/>
          <w:iCs/>
        </w:rPr>
        <w:t xml:space="preserve">rolC. </w:t>
      </w:r>
      <w:r>
        <w:rPr>
          <w:rFonts w:cs="Times New Roman" w:ascii="Times New Roman" w:hAnsi="Times New Roman"/>
        </w:rPr>
        <w:t xml:space="preserve">Its expression has been shown in </w:t>
      </w:r>
      <w:r>
        <w:rPr>
          <w:rFonts w:cs="Times New Roman" w:ascii="Times New Roman" w:hAnsi="Times New Roman"/>
          <w:i/>
          <w:iCs/>
        </w:rPr>
        <w:t xml:space="preserve">Nicotiana </w:t>
      </w:r>
      <w:r>
        <w:rPr>
          <w:rFonts w:cs="Times New Roman" w:ascii="Times New Roman" w:hAnsi="Times New Roman"/>
        </w:rPr>
        <w:t>and</w:t>
      </w:r>
      <w:r>
        <w:rPr>
          <w:rFonts w:cs="Times New Roman" w:ascii="Times New Roman" w:hAnsi="Times New Roman"/>
          <w:i/>
          <w:iCs/>
        </w:rPr>
        <w:t xml:space="preserve"> Linaria.</w:t>
      </w:r>
      <w:r>
        <w:rPr>
          <w:rFonts w:cs="Times New Roman" w:ascii="Times New Roman" w:hAnsi="Times New Roman"/>
          <w:i w:val="false"/>
          <w:iCs w:val="false"/>
        </w:rPr>
        <w:t>[1-</w:t>
      </w:r>
      <w:r>
        <w:rPr>
          <w:rFonts w:cs="Times New Roman" w:ascii="Times New Roman" w:hAnsi="Times New Roman"/>
          <w:i w:val="false"/>
          <w:iCs w:val="false"/>
        </w:rPr>
        <w:t>2</w:t>
      </w:r>
      <w:r>
        <w:rPr>
          <w:rFonts w:cs="Times New Roman" w:ascii="Times New Roman" w:hAnsi="Times New Roman"/>
          <w:i w:val="false"/>
          <w:iCs w:val="false"/>
        </w:rPr>
        <w:t>].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</w:rPr>
        <w:t xml:space="preserve">To investigate the </w:t>
      </w:r>
      <w:r>
        <w:rPr>
          <w:rFonts w:cs="Times New Roman" w:ascii="Times New Roman" w:hAnsi="Times New Roman"/>
          <w:i/>
          <w:iCs/>
        </w:rPr>
        <w:t xml:space="preserve">rolC </w:t>
      </w:r>
      <w:r>
        <w:rPr>
          <w:rFonts w:cs="Times New Roman" w:ascii="Times New Roman" w:hAnsi="Times New Roman"/>
          <w:i w:val="false"/>
          <w:iCs w:val="false"/>
        </w:rPr>
        <w:t>functions</w:t>
      </w:r>
      <w:r>
        <w:rPr>
          <w:rFonts w:cs="Times New Roman" w:ascii="Times New Roman" w:hAnsi="Times New Roman"/>
        </w:rPr>
        <w:t xml:space="preserve">, we compared the biochemical composition of tobacco plants, differing in expression of the gene. Methodology &amp; Theoretical Orientation: </w:t>
      </w:r>
      <w:bookmarkStart w:id="3" w:name="_Hlk524107315"/>
      <w:r>
        <w:rPr>
          <w:rFonts w:cs="Times New Roman" w:ascii="Times New Roman" w:hAnsi="Times New Roman"/>
        </w:rPr>
        <w:t xml:space="preserve">Transgenic </w:t>
      </w:r>
      <w:r>
        <w:rPr>
          <w:rFonts w:cs="Times New Roman" w:ascii="Times New Roman" w:hAnsi="Times New Roman"/>
          <w:i/>
          <w:iCs/>
        </w:rPr>
        <w:t xml:space="preserve">N. tabacum </w:t>
      </w:r>
      <w:r>
        <w:rPr>
          <w:rFonts w:cs="Times New Roman" w:ascii="Times New Roman" w:hAnsi="Times New Roman"/>
          <w:i w:val="false"/>
          <w:iCs w:val="false"/>
        </w:rPr>
        <w:t>plants</w:t>
      </w:r>
      <w:bookmarkEnd w:id="3"/>
      <w:r>
        <w:rPr>
          <w:rFonts w:cs="Times New Roman" w:ascii="Times New Roman" w:hAnsi="Times New Roman"/>
        </w:rPr>
        <w:t xml:space="preserve">, containing </w:t>
      </w:r>
      <w:r>
        <w:rPr>
          <w:rFonts w:cs="Times New Roman" w:ascii="Times New Roman" w:hAnsi="Times New Roman"/>
          <w:i/>
          <w:iCs/>
        </w:rPr>
        <w:t>rolC</w:t>
      </w:r>
      <w:r>
        <w:rPr>
          <w:rFonts w:cs="Times New Roman" w:ascii="Times New Roman" w:hAnsi="Times New Roman"/>
        </w:rPr>
        <w:t xml:space="preserve"> under dexamethasone-inducible promoter and control non-transgenic plants  [</w:t>
      </w: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</w:rPr>
        <w:t>] were cultivated for 7 days on MS media supplied with 10 µM of dexamethasone and MS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 xml:space="preserve"> media </w:t>
      </w:r>
      <w:r>
        <w:rPr>
          <w:rFonts w:cs="Times New Roman" w:ascii="Times New Roman" w:hAnsi="Times New Roman"/>
        </w:rPr>
        <w:t>[4]</w:t>
      </w:r>
      <w:r>
        <w:rPr>
          <w:rFonts w:cs="Times New Roman" w:ascii="Times New Roman" w:hAnsi="Times New Roman"/>
        </w:rPr>
        <w:t xml:space="preserve">. </w:t>
      </w:r>
      <w:bookmarkStart w:id="4" w:name="result_box"/>
      <w:bookmarkEnd w:id="4"/>
      <w:r>
        <w:rPr>
          <w:rFonts w:cs="Times New Roman" w:ascii="Times New Roman" w:hAnsi="Times New Roman"/>
        </w:rPr>
        <w:t>The experiment was done in three replicates. The plant materials were ground in liquid nitrogen, methanol-</w:t>
      </w:r>
      <w:r>
        <w:rPr>
          <w:rFonts w:cs="Times New Roman" w:ascii="Times New Roman" w:hAnsi="Times New Roman"/>
        </w:rPr>
        <w:t xml:space="preserve">extracted </w:t>
      </w:r>
      <w:r>
        <w:rPr>
          <w:rFonts w:cs="Times New Roman" w:ascii="Times New Roman" w:hAnsi="Times New Roman"/>
        </w:rPr>
        <w:t>and</w:t>
      </w:r>
      <w:r>
        <w:rPr>
          <w:rFonts w:cs="Times New Roman" w:ascii="Times New Roman" w:hAnsi="Times New Roman"/>
        </w:rPr>
        <w:t xml:space="preserve"> analy</w:t>
      </w:r>
      <w:r>
        <w:rPr>
          <w:rFonts w:cs="Times New Roman" w:ascii="Times New Roman" w:hAnsi="Times New Roman"/>
        </w:rPr>
        <w:t>zed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by</w:t>
      </w:r>
      <w:r>
        <w:rPr>
          <w:rFonts w:cs="Times New Roman" w:ascii="Times New Roman" w:hAnsi="Times New Roman"/>
        </w:rPr>
        <w:t xml:space="preserve"> HPTLC/AMD and GC-MS. The anti</w:t>
      </w:r>
      <w:r>
        <w:rPr>
          <w:rFonts w:cs="Times New Roman" w:ascii="Times New Roman" w:hAnsi="Times New Roman"/>
        </w:rPr>
        <w:t>microbe</w:t>
      </w:r>
      <w:r>
        <w:rPr>
          <w:rFonts w:cs="Times New Roman" w:ascii="Times New Roman" w:hAnsi="Times New Roman"/>
        </w:rPr>
        <w:t xml:space="preserve"> activities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  <w:i w:val="false"/>
          <w:iCs w:val="false"/>
        </w:rPr>
        <w:t>of the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 xml:space="preserve">extracts (50 μg/disc) were tested against </w:t>
      </w:r>
      <w:r>
        <w:rPr>
          <w:rFonts w:cs="Times New Roman" w:ascii="Times New Roman" w:hAnsi="Times New Roman"/>
          <w:i/>
        </w:rPr>
        <w:t xml:space="preserve">Bacillus subtilis, </w:t>
      </w:r>
      <w:bookmarkStart w:id="5" w:name="_Hlk524110654"/>
      <w:r>
        <w:rPr>
          <w:rFonts w:cs="Times New Roman" w:ascii="Times New Roman" w:hAnsi="Times New Roman"/>
          <w:i/>
        </w:rPr>
        <w:t>Escherichia coli, Candida tropicalis</w:t>
      </w:r>
      <w:bookmarkEnd w:id="5"/>
      <w:r>
        <w:rPr>
          <w:rFonts w:cs="Times New Roman" w:ascii="Times New Roman" w:hAnsi="Times New Roman"/>
          <w:i/>
        </w:rPr>
        <w:t xml:space="preserve">, </w:t>
      </w:r>
      <w:r>
        <w:rPr>
          <w:rFonts w:cs="Times New Roman" w:ascii="Times New Roman" w:hAnsi="Times New Roman"/>
          <w:i w:val="false"/>
          <w:iCs w:val="false"/>
        </w:rPr>
        <w:t>fungistatic activity w</w:t>
      </w:r>
      <w:r>
        <w:rPr>
          <w:rFonts w:cs="Times New Roman" w:ascii="Times New Roman" w:hAnsi="Times New Roman"/>
          <w:i w:val="false"/>
          <w:iCs w:val="false"/>
        </w:rPr>
        <w:t>as</w:t>
      </w:r>
      <w:r>
        <w:rPr>
          <w:rFonts w:cs="Times New Roman" w:ascii="Times New Roman" w:hAnsi="Times New Roman"/>
          <w:i w:val="false"/>
          <w:iCs w:val="false"/>
        </w:rPr>
        <w:t xml:space="preserve"> tested against</w:t>
      </w:r>
      <w:r>
        <w:rPr>
          <w:rFonts w:cs="Times New Roman" w:ascii="Times New Roman" w:hAnsi="Times New Roman"/>
          <w:i/>
        </w:rPr>
        <w:t xml:space="preserve">  Alternaria alternate, Boeremia exigua, Fusarium proliferatum</w:t>
      </w:r>
      <w:r>
        <w:rPr>
          <w:rFonts w:cs="Times New Roman" w:ascii="Times New Roman" w:hAnsi="Times New Roman"/>
        </w:rPr>
        <w:t xml:space="preserve">. Findings: </w:t>
      </w:r>
      <w:bookmarkStart w:id="6" w:name="result_box1"/>
      <w:bookmarkEnd w:id="6"/>
      <w:r>
        <w:rPr>
          <w:rFonts w:cs="Times New Roman" w:ascii="Times New Roman" w:hAnsi="Times New Roman"/>
          <w:lang w:val="en-US"/>
        </w:rPr>
        <w:t xml:space="preserve">The major component identified </w:t>
      </w:r>
      <w:r>
        <w:rPr>
          <w:rFonts w:cs="Times New Roman" w:ascii="Times New Roman" w:hAnsi="Times New Roman"/>
          <w:lang w:val="en-US"/>
        </w:rPr>
        <w:t>in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en-US"/>
        </w:rPr>
        <w:t xml:space="preserve">plant extracts was </w:t>
      </w:r>
      <w:r>
        <w:rPr>
          <w:rFonts w:cs="Times New Roman" w:ascii="Times New Roman" w:hAnsi="Times New Roman"/>
          <w:lang w:val="en-US"/>
        </w:rPr>
        <w:t>dioctanoyl sucrose ester (RT 35.2). Transgenic plant extracts (TPE) show an increase</w:t>
      </w:r>
      <w:r>
        <w:rPr>
          <w:rFonts w:cs="Times New Roman" w:ascii="Times New Roman" w:hAnsi="Times New Roman"/>
          <w:lang w:val="en-US"/>
        </w:rPr>
        <w:t>d</w:t>
      </w:r>
      <w:r>
        <w:rPr>
          <w:rFonts w:cs="Times New Roman" w:ascii="Times New Roman" w:hAnsi="Times New Roman"/>
          <w:lang w:val="en-US"/>
        </w:rPr>
        <w:t xml:space="preserve"> level of nornicotine, sucrose and sucrose ester</w:t>
      </w:r>
      <w:r>
        <w:rPr>
          <w:rFonts w:cs="Times New Roman" w:ascii="Times New Roman" w:hAnsi="Times New Roman"/>
          <w:lang w:val="en-US"/>
        </w:rPr>
        <w:t>s</w:t>
      </w:r>
      <w:r>
        <w:rPr>
          <w:rFonts w:cs="Times New Roman" w:ascii="Times New Roman" w:hAnsi="Times New Roman"/>
          <w:lang w:val="en-US"/>
        </w:rPr>
        <w:t xml:space="preserve"> (RT 40.75, 40.98).</w:t>
      </w:r>
      <w:r>
        <w:rPr>
          <w:rFonts w:cs="Times New Roman" w:ascii="Times New Roman" w:hAnsi="Times New Roman"/>
        </w:rPr>
        <w:t xml:space="preserve"> </w:t>
      </w:r>
      <w:bookmarkStart w:id="7" w:name="result_box2"/>
      <w:bookmarkEnd w:id="7"/>
      <w:r>
        <w:rPr>
          <w:rFonts w:cs="Times New Roman" w:ascii="Times New Roman" w:hAnsi="Times New Roman"/>
          <w:lang w:val="en-US"/>
        </w:rPr>
        <w:t xml:space="preserve">Since it is known that alkaloids have antimicrobial activity </w:t>
      </w:r>
      <w:r>
        <w:rPr>
          <w:rFonts w:cs="Times New Roman" w:ascii="Times New Roman" w:hAnsi="Times New Roman"/>
          <w:lang w:val="en-US"/>
        </w:rPr>
        <w:t>[</w:t>
      </w:r>
      <w:r>
        <w:rPr>
          <w:rFonts w:cs="Times New Roman" w:ascii="Times New Roman" w:hAnsi="Times New Roman"/>
          <w:lang w:val="en-US"/>
        </w:rPr>
        <w:t>5</w:t>
      </w:r>
      <w:r>
        <w:rPr>
          <w:rFonts w:cs="Times New Roman" w:ascii="Times New Roman" w:hAnsi="Times New Roman"/>
          <w:lang w:val="en-US"/>
        </w:rPr>
        <w:t>]</w:t>
      </w:r>
      <w:r>
        <w:rPr>
          <w:rFonts w:cs="Times New Roman" w:ascii="Times New Roman" w:hAnsi="Times New Roman"/>
          <w:lang w:val="en-US"/>
        </w:rPr>
        <w:t xml:space="preserve">, we evaluated the effect of </w:t>
      </w:r>
      <w:r>
        <w:rPr>
          <w:rFonts w:cs="Times New Roman" w:ascii="Times New Roman" w:hAnsi="Times New Roman"/>
          <w:lang w:val="en-US"/>
        </w:rPr>
        <w:t>TPE</w:t>
      </w:r>
      <w:r>
        <w:rPr>
          <w:rFonts w:cs="Times New Roman" w:ascii="Times New Roman" w:hAnsi="Times New Roman"/>
          <w:lang w:val="en-US"/>
        </w:rPr>
        <w:t xml:space="preserve"> on the </w:t>
      </w:r>
      <w:r>
        <w:rPr>
          <w:rFonts w:cs="Times New Roman" w:ascii="Times New Roman" w:hAnsi="Times New Roman"/>
          <w:lang w:val="en-US"/>
        </w:rPr>
        <w:t>vitality</w:t>
      </w:r>
      <w:r>
        <w:rPr>
          <w:rFonts w:cs="Times New Roman" w:ascii="Times New Roman" w:hAnsi="Times New Roman"/>
          <w:lang w:val="en-US"/>
        </w:rPr>
        <w:t xml:space="preserve"> of bacteria and fungi.</w:t>
      </w:r>
      <w:r>
        <w:rPr>
          <w:rFonts w:cs="Times New Roman" w:ascii="Times New Roman" w:hAnsi="Times New Roman"/>
          <w:lang w:val="ru-RU"/>
        </w:rPr>
        <w:t xml:space="preserve"> </w:t>
      </w:r>
      <w:bookmarkStart w:id="8" w:name="result_box3"/>
      <w:bookmarkEnd w:id="8"/>
      <w:r>
        <w:rPr>
          <w:rFonts w:cs="Times New Roman" w:ascii="Times New Roman" w:hAnsi="Times New Roman"/>
          <w:lang w:val="en-US"/>
        </w:rPr>
        <w:t xml:space="preserve">The TPE </w:t>
      </w:r>
      <w:r>
        <w:rPr>
          <w:rFonts w:cs="Times New Roman" w:ascii="Times New Roman" w:hAnsi="Times New Roman"/>
          <w:lang w:val="en-US"/>
        </w:rPr>
        <w:t>in</w:t>
      </w:r>
      <w:r>
        <w:rPr>
          <w:rFonts w:cs="Times New Roman" w:ascii="Times New Roman" w:hAnsi="Times New Roman"/>
          <w:lang w:val="en-US"/>
        </w:rPr>
        <w:t xml:space="preserve"> the </w:t>
      </w:r>
      <w:r>
        <w:rPr>
          <w:rFonts w:cs="Times New Roman" w:ascii="Times New Roman" w:hAnsi="Times New Roman"/>
          <w:lang w:val="en-US"/>
        </w:rPr>
        <w:t>cultural</w:t>
      </w:r>
      <w:r>
        <w:rPr>
          <w:rFonts w:cs="Times New Roman" w:ascii="Times New Roman" w:hAnsi="Times New Roman"/>
          <w:lang w:val="en-US"/>
        </w:rPr>
        <w:t xml:space="preserve"> medi</w:t>
      </w:r>
      <w:r>
        <w:rPr>
          <w:rFonts w:cs="Times New Roman" w:ascii="Times New Roman" w:hAnsi="Times New Roman"/>
          <w:lang w:val="en-US"/>
        </w:rPr>
        <w:t>a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lang w:val="en-US"/>
        </w:rPr>
        <w:t>inhibits</w:t>
      </w:r>
      <w:r>
        <w:rPr>
          <w:rFonts w:cs="Times New Roman" w:ascii="Times New Roman" w:hAnsi="Times New Roman"/>
          <w:lang w:val="en-US"/>
        </w:rPr>
        <w:t xml:space="preserve"> growth of </w:t>
      </w:r>
      <w:r>
        <w:rPr>
          <w:rFonts w:cs="Times New Roman" w:ascii="Times New Roman" w:hAnsi="Times New Roman"/>
          <w:i/>
          <w:iCs/>
          <w:lang w:val="en-US"/>
        </w:rPr>
        <w:t>F. proliferatum</w:t>
      </w:r>
      <w:r>
        <w:rPr>
          <w:rFonts w:cs="Times New Roman" w:ascii="Times New Roman" w:hAnsi="Times New Roman"/>
          <w:lang w:val="en-US"/>
        </w:rPr>
        <w:t xml:space="preserve"> and </w:t>
      </w:r>
      <w:r>
        <w:rPr>
          <w:rFonts w:cs="Times New Roman" w:ascii="Times New Roman" w:hAnsi="Times New Roman"/>
          <w:i/>
          <w:iCs/>
          <w:lang w:val="en-US"/>
        </w:rPr>
        <w:t>A. alternate</w:t>
      </w:r>
      <w:r>
        <w:rPr>
          <w:rFonts w:cs="Times New Roman" w:ascii="Times New Roman" w:hAnsi="Times New Roman"/>
          <w:lang w:val="en-US"/>
        </w:rPr>
        <w:t xml:space="preserve"> (</w:t>
      </w:r>
      <w:r>
        <w:rPr>
          <w:rFonts w:cs="Times New Roman" w:ascii="Times New Roman" w:hAnsi="Times New Roman"/>
          <w:lang w:val="en-US"/>
        </w:rPr>
        <w:t>fig.1</w:t>
      </w:r>
      <w:r>
        <w:rPr>
          <w:rFonts w:cs="Times New Roman" w:ascii="Times New Roman" w:hAnsi="Times New Roman"/>
          <w:lang w:val="en-US"/>
        </w:rPr>
        <w:t xml:space="preserve">) </w:t>
      </w:r>
      <w:r>
        <w:rPr>
          <w:rFonts w:cs="Times New Roman" w:ascii="Times New Roman" w:hAnsi="Times New Roman"/>
          <w:lang w:val="en-US"/>
        </w:rPr>
        <w:t xml:space="preserve">and </w:t>
      </w:r>
      <w:r>
        <w:rPr>
          <w:rFonts w:cs="Times New Roman" w:ascii="Times New Roman" w:hAnsi="Times New Roman"/>
          <w:lang w:val="en-US"/>
        </w:rPr>
        <w:t>shows</w:t>
      </w:r>
      <w:r>
        <w:rPr>
          <w:rFonts w:cs="Times New Roman" w:ascii="Times New Roman" w:hAnsi="Times New Roman"/>
          <w:lang w:val="en-US"/>
        </w:rPr>
        <w:t xml:space="preserve"> antibiotic activity against </w:t>
      </w:r>
      <w:r>
        <w:rPr>
          <w:rFonts w:cs="Times New Roman" w:ascii="Times New Roman" w:hAnsi="Times New Roman"/>
          <w:i/>
          <w:iCs/>
          <w:lang w:val="en-US"/>
        </w:rPr>
        <w:t>E. coli</w:t>
      </w:r>
      <w:r>
        <w:rPr>
          <w:rFonts w:cs="Times New Roman" w:ascii="Times New Roman" w:hAnsi="Times New Roman"/>
          <w:lang w:val="en-US"/>
        </w:rPr>
        <w:t xml:space="preserve">, </w:t>
      </w:r>
      <w:r>
        <w:rPr>
          <w:rFonts w:cs="Times New Roman" w:ascii="Times New Roman" w:hAnsi="Times New Roman"/>
          <w:i/>
          <w:iCs/>
          <w:lang w:val="en-US"/>
        </w:rPr>
        <w:t>C. tropicalis</w:t>
      </w:r>
      <w:r>
        <w:rPr>
          <w:rFonts w:cs="Times New Roman" w:ascii="Times New Roman" w:hAnsi="Times New Roman"/>
          <w:lang w:val="en-US"/>
        </w:rPr>
        <w:t xml:space="preserve">. </w:t>
      </w:r>
      <w:r>
        <w:rPr>
          <w:rFonts w:cs="Times New Roman" w:ascii="Times New Roman" w:hAnsi="Times New Roman"/>
          <w:lang w:val="ru-RU"/>
        </w:rPr>
        <w:t xml:space="preserve">Conclusion &amp; Significance: </w:t>
      </w:r>
      <w:bookmarkStart w:id="9" w:name="result_box4"/>
      <w:bookmarkEnd w:id="9"/>
      <w:r>
        <w:rPr>
          <w:rFonts w:cs="Times New Roman" w:ascii="Times New Roman" w:hAnsi="Times New Roman"/>
          <w:lang w:val="en-US"/>
        </w:rPr>
        <w:t xml:space="preserve">Expression of the </w:t>
      </w:r>
      <w:r>
        <w:rPr>
          <w:rFonts w:cs="Times New Roman" w:ascii="Times New Roman" w:hAnsi="Times New Roman"/>
          <w:i/>
          <w:iCs/>
          <w:lang w:val="en-US"/>
        </w:rPr>
        <w:t>rol</w:t>
      </w:r>
      <w:r>
        <w:rPr>
          <w:rFonts w:cs="Times New Roman" w:ascii="Times New Roman" w:hAnsi="Times New Roman"/>
          <w:i/>
          <w:iCs/>
          <w:lang w:val="ru-RU"/>
        </w:rPr>
        <w:t>С</w:t>
      </w:r>
      <w:r>
        <w:rPr>
          <w:rFonts w:cs="Times New Roman" w:ascii="Times New Roman" w:hAnsi="Times New Roman"/>
          <w:lang w:val="en-US"/>
        </w:rPr>
        <w:t xml:space="preserve"> leads to an increase in the content of </w:t>
      </w:r>
      <w:r>
        <w:rPr>
          <w:rFonts w:cs="Times New Roman" w:ascii="Times New Roman" w:hAnsi="Times New Roman"/>
          <w:lang w:val="en-US"/>
        </w:rPr>
        <w:t>sucrose, sucrose ester</w:t>
      </w:r>
      <w:r>
        <w:rPr>
          <w:rFonts w:cs="Times New Roman" w:ascii="Times New Roman" w:hAnsi="Times New Roman"/>
          <w:lang w:val="en-US"/>
        </w:rPr>
        <w:t>s</w:t>
      </w:r>
      <w:r>
        <w:rPr>
          <w:rFonts w:cs="Times New Roman" w:ascii="Times New Roman" w:hAnsi="Times New Roman"/>
          <w:lang w:val="en-US"/>
        </w:rPr>
        <w:t>, nornicotine</w:t>
      </w:r>
      <w:r>
        <w:rPr>
          <w:rFonts w:cs="Times New Roman" w:ascii="Times New Roman" w:hAnsi="Times New Roman"/>
          <w:lang w:val="en-US"/>
        </w:rPr>
        <w:t xml:space="preserve"> and increase</w:t>
      </w:r>
      <w:r>
        <w:rPr>
          <w:rFonts w:cs="Times New Roman" w:ascii="Times New Roman" w:hAnsi="Times New Roman"/>
          <w:lang w:val="en-US"/>
        </w:rPr>
        <w:t>s</w:t>
      </w:r>
      <w:r>
        <w:rPr>
          <w:rFonts w:cs="Times New Roman" w:ascii="Times New Roman" w:hAnsi="Times New Roman"/>
          <w:lang w:val="en-US"/>
        </w:rPr>
        <w:t xml:space="preserve"> resistance to microorganisms</w:t>
      </w:r>
      <w:r>
        <w:rPr>
          <w:rFonts w:cs="Times New Roman" w:ascii="Times New Roman" w:hAnsi="Times New Roman"/>
          <w:lang w:val="ru-RU"/>
        </w:rPr>
        <w:t xml:space="preserve">. 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This study was supported by a grant to </w:t>
      </w:r>
      <w:r>
        <w:rPr>
          <w:rFonts w:cs="Times New Roman" w:ascii="Times New Roman" w:hAnsi="Times New Roman"/>
          <w:color w:val="000000"/>
          <w:sz w:val="18"/>
          <w:szCs w:val="18"/>
          <w:lang w:val="en-US"/>
        </w:rPr>
        <w:t>TM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from the </w:t>
      </w:r>
      <w:r>
        <w:rPr>
          <w:rFonts w:cs="Times New Roman" w:ascii="Times New Roman" w:hAnsi="Times New Roman"/>
          <w:color w:val="000000"/>
          <w:sz w:val="18"/>
          <w:szCs w:val="18"/>
        </w:rPr>
        <w:t>RFBR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</w:t>
      </w:r>
      <w:r>
        <w:rPr>
          <w:rStyle w:val="Style14"/>
          <w:rFonts w:cs="Times New Roman" w:ascii="Times New Roman" w:hAnsi="Times New Roman"/>
          <w:color w:val="auto"/>
          <w:sz w:val="18"/>
          <w:szCs w:val="18"/>
          <w:u w:val="none"/>
        </w:rPr>
        <w:t>18-016-00118</w:t>
      </w:r>
      <w:r>
        <w:rPr>
          <w:rFonts w:cs="Times New Roman" w:ascii="Times New Roman" w:hAnsi="Times New Roman"/>
          <w:color w:val="auto"/>
          <w:sz w:val="18"/>
          <w:szCs w:val="18"/>
        </w:rPr>
        <w:t>.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Authors thank Professor Otten (</w:t>
      </w:r>
      <w:r>
        <w:rPr>
          <w:rFonts w:cs="Times New Roman" w:ascii="Times New Roman" w:hAnsi="Times New Roman"/>
          <w:color w:val="000000"/>
          <w:sz w:val="18"/>
          <w:szCs w:val="18"/>
        </w:rPr>
        <w:t>IBMP</w:t>
      </w:r>
      <w:r>
        <w:rPr>
          <w:rStyle w:val="Style16"/>
          <w:rFonts w:cs="Times New Roman" w:ascii="Times New Roman" w:hAnsi="Times New Roman"/>
          <w:bCs/>
          <w:i w:val="false"/>
          <w:iCs w:val="false"/>
          <w:color w:val="000000"/>
          <w:sz w:val="18"/>
          <w:szCs w:val="18"/>
          <w:shd w:fill="FFFFFF" w:val="clear"/>
        </w:rPr>
        <w:t>, France)</w:t>
      </w:r>
      <w:r>
        <w:rPr>
          <w:rFonts w:cs="Times New Roman" w:ascii="Times New Roman" w:hAnsi="Times New Roman"/>
          <w:color w:val="000000"/>
          <w:sz w:val="18"/>
          <w:szCs w:val="18"/>
        </w:rPr>
        <w:t xml:space="preserve"> for transgenic plan</w:t>
      </w:r>
      <w:r>
        <w:rPr>
          <w:rFonts w:cs="Times New Roman" w:ascii="Times New Roman" w:hAnsi="Times New Roman"/>
          <w:color w:val="000000"/>
          <w:sz w:val="18"/>
          <w:szCs w:val="18"/>
        </w:rPr>
        <w:t>ts</w:t>
      </w:r>
      <w:r>
        <w:rPr>
          <w:rFonts w:cs="Times New Roman" w:ascii="Times New Roman" w:hAnsi="Times New Roman"/>
          <w:color w:val="000000"/>
          <w:sz w:val="18"/>
          <w:szCs w:val="18"/>
        </w:rPr>
        <w:t>.</w:t>
      </w:r>
    </w:p>
    <w:p>
      <w:pPr>
        <w:pStyle w:val="3"/>
        <w:spacing w:before="74" w:after="0"/>
        <w:rPr/>
      </w:pPr>
      <w:r>
        <w:br w:type="column"/>
      </w:r>
      <w:r>
        <w:rPr>
          <w:rFonts w:cs="Times New Roman" w:ascii="Times New Roman" w:hAnsi="Times New Roman"/>
          <w:color w:val="BF5A14"/>
          <w:sz w:val="18"/>
          <w:szCs w:val="18"/>
        </w:rPr>
        <w:t>Image</w:t>
      </w:r>
    </w:p>
    <w:p>
      <w:pPr>
        <w:pStyle w:val="Style19"/>
        <w:spacing w:before="2" w:after="0"/>
        <w:rPr>
          <w:rFonts w:ascii="Arial" w:hAnsi="Arial"/>
          <w:b/>
          <w:b/>
        </w:rPr>
      </w:pPr>
      <w:r>
        <w:rPr/>
        <w:drawing>
          <wp:inline distT="0" distB="0" distL="0" distR="0">
            <wp:extent cx="3164205" cy="1840865"/>
            <wp:effectExtent l="0" t="0" r="0" b="0"/>
            <wp:docPr id="5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204"/>
        <w:jc w:val="both"/>
        <w:rPr/>
      </w:pPr>
      <w:r>
        <w:rPr>
          <w:rFonts w:ascii="Arial" w:hAnsi="Arial"/>
          <w:b/>
          <w:color w:val="BF5A14"/>
          <w:sz w:val="18"/>
          <w:szCs w:val="18"/>
        </w:rPr>
        <w:br/>
      </w:r>
      <w:r>
        <w:rPr>
          <w:rFonts w:cs="Times New Roman" w:ascii="Times New Roman" w:hAnsi="Times New Roman"/>
          <w:b/>
          <w:color w:val="BF5A14"/>
          <w:sz w:val="18"/>
          <w:szCs w:val="18"/>
        </w:rPr>
        <w:t xml:space="preserve">Recent Publications 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6" w:before="103" w:after="0"/>
        <w:ind w:left="383" w:right="138" w:hanging="283"/>
        <w:rPr/>
      </w:pPr>
      <w:r>
        <w:rPr>
          <w:rFonts w:cs="Times New Roman" w:ascii="Times New Roman" w:hAnsi="Times New Roman"/>
          <w:sz w:val="18"/>
          <w:szCs w:val="18"/>
        </w:rPr>
        <w:t xml:space="preserve">Matveeva T (2018) </w:t>
      </w:r>
      <w:bookmarkStart w:id="10" w:name="idc"/>
      <w:bookmarkStart w:id="11" w:name="id3"/>
      <w:bookmarkEnd w:id="10"/>
      <w:bookmarkEnd w:id="11"/>
      <w:r>
        <w:rPr>
          <w:rFonts w:cs="Times New Roman" w:ascii="Times New Roman" w:hAnsi="Times New Roman"/>
          <w:sz w:val="18"/>
          <w:szCs w:val="18"/>
        </w:rPr>
        <w:t xml:space="preserve">Agrobacterium-Mediated Transformation in the Evolution of Plants. Curr Top Microbiol Immunol DOI </w:t>
      </w:r>
      <w:bookmarkStart w:id="12" w:name="doi-url"/>
      <w:bookmarkEnd w:id="12"/>
      <w:r>
        <w:rPr>
          <w:rFonts w:cs="Times New Roman" w:ascii="Times New Roman" w:hAnsi="Times New Roman"/>
          <w:sz w:val="18"/>
          <w:szCs w:val="18"/>
        </w:rPr>
        <w:t xml:space="preserve">https://doi.org/10.1007/82_2018_80 </w:t>
      </w:r>
    </w:p>
    <w:p>
      <w:pPr>
        <w:pStyle w:val="2"/>
        <w:numPr>
          <w:ilvl w:val="0"/>
          <w:numId w:val="1"/>
        </w:numPr>
        <w:shd w:val="clear" w:color="auto" w:fill="FFFFFF"/>
        <w:tabs>
          <w:tab w:val="left" w:pos="384" w:leader="none"/>
        </w:tabs>
        <w:spacing w:lineRule="exact" w:line="216" w:beforeAutospacing="0" w:before="0" w:afterAutospacing="0" w:after="0"/>
        <w:jc w:val="both"/>
        <w:rPr>
          <w:rFonts w:ascii="Times New Roman" w:hAnsi="Times New Roman" w:eastAsia="Calibri" w:cs="Times New Roman"/>
          <w:color w:val="00000A"/>
          <w:sz w:val="18"/>
          <w:szCs w:val="18"/>
        </w:rPr>
      </w:pPr>
      <w:r>
        <w:rPr>
          <w:rFonts w:eastAsia="Calibri" w:cs="Times New Roman" w:ascii="Times New Roman" w:hAnsi="Times New Roman"/>
          <w:b w:val="false"/>
          <w:color w:val="00000A"/>
          <w:sz w:val="18"/>
          <w:szCs w:val="18"/>
          <w:lang w:val="en-US"/>
        </w:rPr>
        <w:t xml:space="preserve">Matveeva T </w:t>
      </w:r>
      <w:r>
        <w:rPr>
          <w:rFonts w:eastAsia="Calibri" w:cs="Times New Roman" w:ascii="Times New Roman" w:hAnsi="Times New Roman"/>
          <w:b w:val="false"/>
          <w:color w:val="00000A"/>
          <w:sz w:val="18"/>
          <w:szCs w:val="18"/>
          <w:lang w:val="en-US"/>
        </w:rPr>
        <w:t>&amp;</w:t>
      </w:r>
      <w:r>
        <w:rPr>
          <w:rFonts w:eastAsia="Calibri" w:cs="Times New Roman" w:ascii="Times New Roman" w:hAnsi="Times New Roman"/>
          <w:b w:val="false"/>
          <w:color w:val="00000A"/>
          <w:sz w:val="18"/>
          <w:szCs w:val="18"/>
          <w:lang w:val="en-US"/>
        </w:rPr>
        <w:t xml:space="preserve"> Sokornova S (2017) </w:t>
      </w:r>
      <w:r>
        <w:rPr>
          <w:rFonts w:eastAsia="Calibri" w:cs="Times New Roman" w:ascii="Times New Roman" w:hAnsi="Times New Roman"/>
          <w:b w:val="false"/>
          <w:color w:val="00000A"/>
          <w:sz w:val="18"/>
          <w:szCs w:val="18"/>
          <w:lang w:val="en"/>
        </w:rPr>
        <w:t xml:space="preserve">Biological traits of naturally transgenic plants and their evolutional roles. </w:t>
      </w:r>
      <w:r>
        <w:rPr>
          <w:rFonts w:eastAsia="Calibri" w:cs="Times New Roman" w:ascii="Times New Roman" w:hAnsi="Times New Roman"/>
          <w:b w:val="false"/>
          <w:color w:val="00000A"/>
          <w:sz w:val="18"/>
          <w:szCs w:val="18"/>
          <w:lang w:val="en-US"/>
        </w:rPr>
        <w:t>Russ J Plant Physiol.  64(5): 635-64</w:t>
      </w:r>
    </w:p>
    <w:p>
      <w:pPr>
        <w:pStyle w:val="1"/>
        <w:numPr>
          <w:ilvl w:val="0"/>
          <w:numId w:val="1"/>
        </w:numPr>
        <w:tabs>
          <w:tab w:val="left" w:pos="384" w:leader="none"/>
        </w:tabs>
        <w:spacing w:lineRule="exact" w:line="216"/>
        <w:ind w:left="383" w:right="137" w:hanging="283"/>
        <w:rPr/>
      </w:pP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Mohajjel-Shoja H et al. (2011) Biological Activity of the </w:t>
      </w:r>
      <w:r>
        <w:rPr>
          <w:rFonts w:cs="Times New Roman" w:ascii="Times New Roman" w:hAnsi="Times New Roman"/>
          <w:b w:val="false"/>
          <w:bCs w:val="false"/>
          <w:i/>
          <w:sz w:val="18"/>
          <w:szCs w:val="18"/>
        </w:rPr>
        <w:t>Agrobacterium rhizogenes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–Derived </w:t>
      </w:r>
      <w:r>
        <w:rPr>
          <w:rFonts w:cs="Times New Roman" w:ascii="Times New Roman" w:hAnsi="Times New Roman"/>
          <w:b w:val="false"/>
          <w:bCs w:val="false"/>
          <w:i/>
          <w:sz w:val="18"/>
          <w:szCs w:val="18"/>
        </w:rPr>
        <w:t>trolC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 Gene of </w:t>
      </w:r>
      <w:r>
        <w:rPr>
          <w:rFonts w:cs="Times New Roman" w:ascii="Times New Roman" w:hAnsi="Times New Roman"/>
          <w:b w:val="false"/>
          <w:bCs w:val="false"/>
          <w:i/>
          <w:sz w:val="18"/>
          <w:szCs w:val="18"/>
        </w:rPr>
        <w:t>Nicotiana tabacum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 and Its Functional Relation to Other </w:t>
      </w:r>
      <w:r>
        <w:rPr>
          <w:rFonts w:cs="Times New Roman" w:ascii="Times New Roman" w:hAnsi="Times New Roman"/>
          <w:b w:val="false"/>
          <w:bCs w:val="false"/>
          <w:i/>
          <w:sz w:val="18"/>
          <w:szCs w:val="18"/>
        </w:rPr>
        <w:t>plast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 Genes. MPMI 24(1): 44-53</w:t>
      </w:r>
    </w:p>
    <w:p>
      <w:pPr>
        <w:pStyle w:val="Normal"/>
        <w:numPr>
          <w:ilvl w:val="0"/>
          <w:numId w:val="1"/>
        </w:numPr>
        <w:tabs>
          <w:tab w:val="left" w:pos="384" w:leader="none"/>
        </w:tabs>
        <w:spacing w:lineRule="auto" w:line="240" w:before="0" w:after="0"/>
        <w:jc w:val="both"/>
        <w:rPr>
          <w:rFonts w:ascii="Times New Roman" w:hAnsi="Times New Roman" w:eastAsia="Minion Pro" w:cs="Times New Roman"/>
          <w:b w:val="false"/>
          <w:b w:val="false"/>
          <w:bCs w:val="false"/>
          <w:color w:val="00000A"/>
          <w:sz w:val="18"/>
          <w:szCs w:val="18"/>
        </w:rPr>
      </w:pP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Murashige T 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&amp; 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Skoog F 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(1962) 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>A revised medium for rapid growth and bioassay with tobacco tissue culture. Physiol. Plant. 15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: </w:t>
      </w:r>
      <w:r>
        <w:rPr>
          <w:rFonts w:eastAsia="Minion Pro" w:cs="Times New Roman" w:ascii="Times New Roman" w:hAnsi="Times New Roman"/>
          <w:b w:val="false"/>
          <w:bCs w:val="false"/>
          <w:color w:val="00000A"/>
          <w:sz w:val="18"/>
          <w:szCs w:val="18"/>
          <w:lang w:val="en-US" w:eastAsia="ru-RU"/>
        </w:rPr>
        <w:t xml:space="preserve">165–170. 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6"/>
        <w:ind w:left="383" w:right="137" w:hanging="284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Bailey JA et al (1975) Capsidiol: an antifungal compound produced in </w:t>
      </w:r>
      <w:r>
        <w:rPr>
          <w:rFonts w:cs="Times New Roman" w:ascii="Times New Roman" w:hAnsi="Times New Roman"/>
          <w:i/>
          <w:sz w:val="18"/>
          <w:szCs w:val="18"/>
        </w:rPr>
        <w:t>Nicotiana tabacum</w:t>
      </w:r>
      <w:r>
        <w:rPr>
          <w:rFonts w:cs="Times New Roman" w:ascii="Times New Roman" w:hAnsi="Times New Roman"/>
          <w:sz w:val="18"/>
          <w:szCs w:val="18"/>
        </w:rPr>
        <w:t xml:space="preserve"> and </w:t>
      </w:r>
      <w:r>
        <w:rPr>
          <w:rFonts w:cs="Times New Roman" w:ascii="Times New Roman" w:hAnsi="Times New Roman"/>
          <w:i/>
          <w:sz w:val="18"/>
          <w:szCs w:val="18"/>
        </w:rPr>
        <w:t>Nicotiana clevelandii</w:t>
      </w:r>
      <w:r>
        <w:rPr>
          <w:rFonts w:cs="Times New Roman" w:ascii="Times New Roman" w:hAnsi="Times New Roman"/>
          <w:sz w:val="18"/>
          <w:szCs w:val="18"/>
        </w:rPr>
        <w:t xml:space="preserve"> following infection with tobacco necrosis virus Phytochem 14: 597−582</w:t>
      </w:r>
    </w:p>
    <w:p>
      <w:pPr>
        <w:pStyle w:val="ListParagraph"/>
        <w:numPr>
          <w:ilvl w:val="0"/>
          <w:numId w:val="0"/>
        </w:numPr>
        <w:tabs>
          <w:tab w:val="left" w:pos="384" w:leader="none"/>
        </w:tabs>
        <w:spacing w:lineRule="exact" w:line="216"/>
        <w:ind w:left="482" w:right="137" w:hanging="0"/>
        <w:rPr>
          <w:rFonts w:ascii="Times New Roman" w:hAnsi="Times New Roman" w:cs="Times New Roman"/>
          <w:sz w:val="18"/>
          <w:szCs w:val="18"/>
        </w:rPr>
      </w:pPr>
      <w:r>
        <w:rPr/>
      </w:r>
    </w:p>
    <w:p>
      <w:pPr>
        <w:pStyle w:val="Normal"/>
        <w:spacing w:lineRule="exact" w:line="20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cols w:num="2" w:equalWidth="false" w:sep="false">
            <w:col w:w="5211" w:space="138"/>
            <w:col w:w="5336"/>
          </w:cols>
          <w:formProt w:val="false"/>
          <w:textDirection w:val="lrTb"/>
          <w:docGrid w:type="default" w:linePitch="600" w:charSpace="36864"/>
        </w:sectPr>
      </w:pPr>
    </w:p>
    <w:p>
      <w:pPr>
        <w:pStyle w:val="Style19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drawing>
          <wp:anchor behindDoc="0" distT="0" distB="0" distL="0" distR="0" simplePos="0" locked="0" layoutInCell="1" allowOverlap="1" relativeHeight="12">
            <wp:simplePos x="0" y="0"/>
            <wp:positionH relativeFrom="column">
              <wp:posOffset>107950</wp:posOffset>
            </wp:positionH>
            <wp:positionV relativeFrom="paragraph">
              <wp:posOffset>22225</wp:posOffset>
            </wp:positionV>
            <wp:extent cx="673735" cy="685165"/>
            <wp:effectExtent l="0" t="0" r="0" b="0"/>
            <wp:wrapSquare wrapText="largest"/>
            <wp:docPr id="6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9"/>
        <w:spacing w:lineRule="exact" w:line="40"/>
        <w:ind w:left="2202" w:hanging="0"/>
        <w:rPr/>
      </w:pPr>
      <w:r>
        <w:rPr/>
        <mc:AlternateContent>
          <mc:Choice Requires="wpg">
            <w:drawing>
              <wp:inline distT="0" distB="0" distL="0" distR="0" wp14:anchorId="35FC0352">
                <wp:extent cx="3977640" cy="635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692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976920" cy="0"/>
                          </a:xfrm>
                          <a:prstGeom prst="line">
                            <a:avLst/>
                          </a:prstGeom>
                          <a:ln w="2556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1pt;width:313.1pt;height:0pt" coordorigin="0,-2" coordsize="6262,0">
                <v:line id="shape_0" from="0,-1" to="6262,-1" stroked="t" style="position:absolute;mso-position-vertical:top">
                  <v:stroke color="#004080" weight="255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before="92" w:after="0"/>
        <w:ind w:right="4234" w:hanging="0"/>
        <w:rPr/>
      </w:pPr>
      <w:r>
        <w:rPr/>
        <w:t xml:space="preserve">              </w:t>
      </w:r>
    </w:p>
    <w:p>
      <w:pPr>
        <w:pStyle w:val="Normal"/>
        <w:spacing w:before="92" w:after="0"/>
        <w:ind w:right="4234" w:hanging="0"/>
        <w:rPr>
          <w:rFonts w:ascii="Times New Roman" w:hAnsi="Times New Roman" w:cs="Times New Roman"/>
          <w:color w:val="BF5A14"/>
          <w:sz w:val="20"/>
          <w:szCs w:val="20"/>
        </w:rPr>
      </w:pPr>
      <w:r>
        <w:rPr/>
      </w:r>
    </w:p>
    <w:p>
      <w:pPr>
        <w:pStyle w:val="Normal"/>
        <w:spacing w:before="92" w:after="0"/>
        <w:ind w:right="4234" w:hanging="0"/>
        <w:rPr/>
      </w:pPr>
      <w:r>
        <w:rPr>
          <w:rFonts w:cs="Times New Roman" w:ascii="Times New Roman" w:hAnsi="Times New Roman"/>
          <w:color w:val="BF5A14"/>
          <w:sz w:val="20"/>
          <w:szCs w:val="20"/>
        </w:rPr>
        <w:t xml:space="preserve">  </w:t>
      </w:r>
      <w:r>
        <w:rPr>
          <w:rFonts w:cs="Times New Roman" w:ascii="Times New Roman" w:hAnsi="Times New Roman"/>
          <w:color w:val="BF5A14"/>
          <w:sz w:val="20"/>
          <w:szCs w:val="20"/>
        </w:rPr>
        <w:t xml:space="preserve">Biography </w:t>
      </w:r>
    </w:p>
    <w:p>
      <w:pPr>
        <w:pStyle w:val="Normal"/>
        <w:spacing w:before="41" w:after="0"/>
        <w:ind w:right="231" w:hanging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Tatiana V. Matveeva graduated from </w:t>
      </w:r>
      <w:bookmarkStart w:id="13" w:name="__DdeLink__14114_674301842"/>
      <w:r>
        <w:rPr>
          <w:rFonts w:cs="Times New Roman" w:ascii="Times New Roman" w:hAnsi="Times New Roman"/>
          <w:sz w:val="20"/>
          <w:szCs w:val="20"/>
        </w:rPr>
        <w:t>St.Petersburg State University</w:t>
      </w:r>
      <w:bookmarkEnd w:id="13"/>
      <w:r>
        <w:rPr>
          <w:rFonts w:cs="Times New Roman" w:ascii="Times New Roman" w:hAnsi="Times New Roman"/>
          <w:sz w:val="20"/>
          <w:szCs w:val="20"/>
        </w:rPr>
        <w:t xml:space="preserve"> in 1996, got her PhD in 2000 and became a Doctor of Science in 2013. Now she is a Professor of the Department of Genetics and Biotechnology of the St.Petersburg State University. Her research is devoted to horizontal gene transfer from </w:t>
      </w:r>
      <w:r>
        <w:rPr>
          <w:rFonts w:cs="Times New Roman" w:ascii="Times New Roman" w:hAnsi="Times New Roman"/>
          <w:i/>
          <w:iCs/>
          <w:sz w:val="20"/>
          <w:szCs w:val="20"/>
        </w:rPr>
        <w:t>Agrobacterium</w:t>
      </w:r>
      <w:r>
        <w:rPr>
          <w:rFonts w:cs="Times New Roman" w:ascii="Times New Roman" w:hAnsi="Times New Roman"/>
          <w:sz w:val="20"/>
          <w:szCs w:val="20"/>
        </w:rPr>
        <w:t xml:space="preserve"> to plants. </w:t>
      </w:r>
      <w:bookmarkStart w:id="14" w:name="result_box11"/>
      <w:bookmarkEnd w:id="14"/>
      <w:r>
        <w:rPr>
          <w:rFonts w:cs="Times New Roman" w:ascii="Times New Roman" w:hAnsi="Times New Roman"/>
          <w:sz w:val="20"/>
          <w:szCs w:val="20"/>
          <w:lang w:val="en-US"/>
        </w:rPr>
        <w:t xml:space="preserve">Under her leadership, T-DNA was first discovered and characterized in plants of the genus </w:t>
      </w:r>
      <w:r>
        <w:rPr>
          <w:rFonts w:cs="Times New Roman" w:ascii="Times New Roman" w:hAnsi="Times New Roman"/>
          <w:i/>
          <w:iCs/>
          <w:sz w:val="20"/>
          <w:szCs w:val="20"/>
          <w:lang w:val="en-US"/>
        </w:rPr>
        <w:t>Linaria</w:t>
      </w:r>
      <w:r>
        <w:rPr>
          <w:rFonts w:cs="Times New Roman" w:ascii="Times New Roman" w:hAnsi="Times New Roman"/>
          <w:sz w:val="20"/>
          <w:szCs w:val="20"/>
          <w:lang w:val="ru-RU"/>
        </w:rPr>
        <w:t xml:space="preserve">. </w:t>
      </w:r>
      <w:bookmarkStart w:id="15" w:name="result_box21"/>
      <w:bookmarkEnd w:id="15"/>
      <w:r>
        <w:rPr>
          <w:rFonts w:cs="Times New Roman" w:ascii="Times New Roman" w:hAnsi="Times New Roman"/>
          <w:sz w:val="20"/>
          <w:szCs w:val="20"/>
          <w:lang w:val="en-US"/>
        </w:rPr>
        <w:t xml:space="preserve">Now her research team is studying biodiversity of T-DNA-like sequences in plants and possible functions of genes obtained by plants from </w:t>
      </w:r>
      <w:r>
        <w:rPr>
          <w:rFonts w:cs="Times New Roman" w:ascii="Times New Roman" w:hAnsi="Times New Roman"/>
          <w:i/>
          <w:iCs/>
          <w:sz w:val="20"/>
          <w:szCs w:val="20"/>
          <w:lang w:val="en-US"/>
        </w:rPr>
        <w:t>Agrobacterium</w:t>
      </w:r>
    </w:p>
    <w:p>
      <w:pPr>
        <w:pStyle w:val="Normal"/>
        <w:spacing w:before="62" w:after="0"/>
        <w:ind w:right="4235" w:hanging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>Email:radishlet</w:t>
      </w:r>
      <w:hyperlink r:id="rId6"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@</w:t>
        </w:r>
        <w:r>
          <w:rPr>
            <w:rStyle w:val="Style14"/>
            <w:rFonts w:cs="Times New Roman" w:ascii="Times New Roman" w:hAnsi="Times New Roman"/>
            <w:sz w:val="20"/>
            <w:szCs w:val="20"/>
            <w:lang w:val="ru-RU"/>
          </w:rPr>
          <w:t>gmail.com</w:t>
        </w:r>
      </w:hyperlink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Full Name: Tatiana V. Matveeva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Personal Email: radishlet@gmail.com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Mobile Number: +79045154005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Linke</w:t>
      </w:r>
      <w:bookmarkStart w:id="16" w:name="_GoBack"/>
      <w:bookmarkEnd w:id="16"/>
      <w:r>
        <w:rPr>
          <w:rFonts w:cs="Times New Roman" w:ascii="Times New Roman" w:hAnsi="Times New Roman"/>
          <w:sz w:val="20"/>
          <w:szCs w:val="20"/>
        </w:rPr>
        <w:t>d In: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 xml:space="preserve">Facebook: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Session Name/ number: Plant Biotechnology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Category:  Poster presentation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720" w:right="4235" w:hanging="360"/>
        <w:rPr/>
      </w:pPr>
      <w:r>
        <w:rPr>
          <w:rFonts w:cs="Times New Roman" w:ascii="Times New Roman" w:hAnsi="Times New Roman"/>
          <w:sz w:val="20"/>
          <w:szCs w:val="20"/>
        </w:rPr>
        <w:t>Date of Birth: 10/11/1974</w:t>
      </w:r>
    </w:p>
    <w:p>
      <w:pPr>
        <w:pStyle w:val="Style19"/>
        <w:numPr>
          <w:ilvl w:val="0"/>
          <w:numId w:val="2"/>
        </w:numPr>
        <w:rPr/>
      </w:pPr>
      <w:r>
        <w:rPr>
          <w:rFonts w:cs="Times New Roman" w:ascii="Times New Roman" w:hAnsi="Times New Roman"/>
          <w:sz w:val="20"/>
          <w:szCs w:val="20"/>
        </w:rPr>
        <w:t>Postal Address: Department of Genetics and Biotechnology, St. Petersburg State University, University emb., 7/9, St. Petersburg, 199034, Russia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formProt w:val="false"/>
          <w:textDirection w:val="lrTb"/>
          <w:docGrid w:type="default" w:linePitch="600" w:charSpace="36864"/>
        </w:sectPr>
      </w:pPr>
    </w:p>
    <w:p>
      <w:pPr>
        <w:pStyle w:val="Style19"/>
        <w:spacing w:before="3" w:after="0"/>
        <w:rPr/>
      </w:pPr>
      <w:r>
        <w:rPr>
          <w:rFonts w:cs="Times New Roman" w:ascii="Times New Roman" w:hAnsi="Times New Roman"/>
          <w:b/>
          <w:sz w:val="24"/>
        </w:rPr>
        <w:t xml:space="preserve">Notes or Comments: </w:t>
      </w:r>
    </w:p>
    <w:sectPr>
      <w:type w:val="continuous"/>
      <w:pgSz w:w="11906" w:h="16838"/>
      <w:pgMar w:left="620" w:right="600" w:header="541" w:top="1740" w:footer="642" w:bottom="840" w:gutter="0"/>
      <w:cols w:num="2" w:equalWidth="false" w:sep="false">
        <w:col w:w="5202" w:space="138"/>
        <w:col w:w="5345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w Cen MT">
    <w:charset w:val="cc"/>
    <w:family w:val="roman"/>
    <w:pitch w:val="variable"/>
  </w:font>
  <w:font w:name="Minion Pro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Myriad Pro">
    <w:charset w:val="cc"/>
    <w:family w:val="roman"/>
    <w:pitch w:val="variable"/>
  </w:font>
  <w:font w:name="Impac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spacing w:lineRule="auto" w:line="7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7410" cy="250190"/>
              <wp:effectExtent l="0" t="0" r="0" b="0"/>
              <wp:wrapNone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7410" cy="25019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Style26"/>
                            <w:spacing w:lineRule="exact" w:line="184"/>
                            <w:ind w:left="20" w:right="-12" w:hanging="0"/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>
                          <w:pPr>
                            <w:pStyle w:val="Style26"/>
                            <w:spacing w:before="8" w:after="0"/>
                            <w:ind w:left="20" w:right="-12" w:hanging="0"/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68.3pt;height:19.7pt;mso-wrap-distance-left:0pt;mso-wrap-distance-right:0pt;mso-wrap-distance-top:0pt;mso-wrap-distance-bottom:0pt;margin-top:798.8pt;mso-position-vertical-relative:page;margin-left:35pt;mso-position-horizontal-relative:page">
              <v:textbox inset="0in,0in,0in,0in">
                <w:txbxContent>
                  <w:p>
                    <w:pPr>
                      <w:pStyle w:val="Style26"/>
                      <w:spacing w:lineRule="exact" w:line="184"/>
                      <w:ind w:left="20" w:right="-12" w:hanging="0"/>
                      <w:rPr>
                        <w:rFonts w:ascii="Arial" w:hAnsi="Arial"/>
                        <w:color w:val="FFFFFF"/>
                        <w:sz w:val="16"/>
                      </w:rPr>
                    </w:pPr>
                    <w:r>
                      <w:rPr>
                        <w:rFonts w:ascii="Arial" w:hAnsi="Arial"/>
                        <w:color w:val="FFFFFF"/>
                        <w:sz w:val="16"/>
                      </w:rPr>
                      <w:t>J Pain Relief</w:t>
                    </w:r>
                  </w:p>
                  <w:p>
                    <w:pPr>
                      <w:pStyle w:val="Style26"/>
                      <w:spacing w:before="8" w:after="0"/>
                      <w:ind w:left="20" w:right="-12" w:hanging="0"/>
                      <w:rPr>
                        <w:rFonts w:ascii="Arial" w:hAnsi="Arial"/>
                        <w:color w:val="FFFFFF"/>
                        <w:sz w:val="16"/>
                      </w:rPr>
                    </w:pPr>
                    <w:r>
                      <w:rPr>
                        <w:rFonts w:ascii="Arial" w:hAnsi="Arial"/>
                        <w:color w:val="FFFFFF"/>
                        <w:sz w:val="16"/>
                      </w:rPr>
                      <w:t>ISSN: 2167-0846 JPAR an open access journa</w:t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8400" cy="318135"/>
              <wp:effectExtent l="0" t="0" r="0" b="0"/>
              <wp:wrapNone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8400" cy="318135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Style26"/>
                            <w:spacing w:lineRule="exact" w:line="269"/>
                            <w:jc w:val="center"/>
                            <w:rPr>
                              <w:rFonts w:ascii="Impact" w:hAnsi="Impact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>
                          <w:pPr>
                            <w:pStyle w:val="Style26"/>
                            <w:spacing w:before="29" w:after="0"/>
                            <w:jc w:val="center"/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92pt;height:25.05pt;mso-wrap-distance-left:0pt;mso-wrap-distance-right:0pt;mso-wrap-distance-top:0pt;mso-wrap-distance-bottom:0pt;margin-top:799.05pt;mso-position-vertical-relative:page;margin-left:252.1pt;mso-position-horizontal-relative:page">
              <v:textbox inset="0in,0in,0in,0in">
                <w:txbxContent>
                  <w:p>
                    <w:pPr>
                      <w:pStyle w:val="Style26"/>
                      <w:spacing w:lineRule="exact" w:line="269"/>
                      <w:jc w:val="center"/>
                      <w:rPr>
                        <w:rFonts w:ascii="Impact" w:hAnsi="Impact"/>
                        <w:color w:val="FFFFFF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/>
                        <w:sz w:val="24"/>
                      </w:rPr>
                      <w:t>Fibromyalgia 2016</w:t>
                    </w:r>
                  </w:p>
                  <w:p>
                    <w:pPr>
                      <w:pStyle w:val="Style26"/>
                      <w:spacing w:before="29" w:after="0"/>
                      <w:jc w:val="center"/>
                      <w:rPr>
                        <w:rFonts w:ascii="Arial" w:hAnsi="Arial"/>
                        <w:color w:val="FFFFFF"/>
                        <w:sz w:val="16"/>
                      </w:rPr>
                    </w:pPr>
                    <w:r>
                      <w:rPr>
                        <w:rFonts w:ascii="Arial" w:hAns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2050" cy="332105"/>
              <wp:effectExtent l="0" t="0" r="0" b="0"/>
              <wp:wrapNone/>
              <wp:docPr id="4" name="Врезка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332105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Style26"/>
                            <w:spacing w:lineRule="exact" w:line="184"/>
                            <w:ind w:right="18" w:hanging="0"/>
                            <w:jc w:val="right"/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>
                          <w:pPr>
                            <w:pStyle w:val="Style26"/>
                            <w:spacing w:before="116" w:after="0"/>
                            <w:ind w:right="18" w:hanging="0"/>
                            <w:jc w:val="right"/>
                            <w:rPr>
                              <w:rFonts w:ascii="Minion Pro" w:hAnsi="Minion Pro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Minion Pro" w:hAns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91.5pt;height:26.15pt;mso-wrap-distance-left:0pt;mso-wrap-distance-right:0pt;mso-wrap-distance-top:0pt;mso-wrap-distance-bottom:0pt;margin-top:798.8pt;mso-position-vertical-relative:page;margin-left:468.9pt;mso-position-horizontal-relative:page">
              <v:textbox inset="0in,0in,0in,0in">
                <w:txbxContent>
                  <w:p>
                    <w:pPr>
                      <w:pStyle w:val="Style26"/>
                      <w:spacing w:lineRule="exact" w:line="184"/>
                      <w:ind w:right="18" w:hanging="0"/>
                      <w:jc w:val="right"/>
                      <w:rPr>
                        <w:rFonts w:ascii="Arial" w:hAnsi="Arial"/>
                        <w:color w:val="FFFFFF"/>
                        <w:sz w:val="16"/>
                      </w:rPr>
                    </w:pPr>
                    <w:r>
                      <w:rPr>
                        <w:rFonts w:ascii="Arial" w:hAnsi="Arial"/>
                        <w:color w:val="FFFFFF"/>
                        <w:sz w:val="16"/>
                      </w:rPr>
                      <w:t>Volume 5, Issue 3(Suppl)</w:t>
                    </w:r>
                  </w:p>
                  <w:p>
                    <w:pPr>
                      <w:pStyle w:val="Style26"/>
                      <w:spacing w:before="116" w:after="0"/>
                      <w:ind w:right="18" w:hanging="0"/>
                      <w:jc w:val="right"/>
                      <w:rPr>
                        <w:rFonts w:ascii="Minion Pro" w:hAnsi="Minion Pro"/>
                        <w:color w:val="FFFFFF"/>
                        <w:sz w:val="16"/>
                      </w:rPr>
                    </w:pPr>
                    <w:r>
                      <w:rPr>
                        <w:rFonts w:ascii="Minion Pro" w:hAns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spacing w:lineRule="auto" w:line="7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3835" cy="510540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835" cy="51054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Style19"/>
                            <w:spacing w:lineRule="exact" w:line="187"/>
                            <w:ind w:left="20" w:right="-10" w:hanging="0"/>
                            <w:rPr>
                              <w:rFonts w:ascii="Myriad Pro" w:hAnsi="Myriad Pro"/>
                              <w:color w:val="FFFFFF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Style26"/>
                            <w:spacing w:lineRule="exact" w:line="614"/>
                            <w:ind w:left="20" w:right="-10" w:hanging="0"/>
                            <w:rPr/>
                          </w:pPr>
                          <w:r>
                            <w:rPr>
                              <w:rFonts w:ascii="Impact" w:hAnsi="Impact"/>
                              <w:color w:val="FFFFFF"/>
                              <w:sz w:val="52"/>
                            </w:rPr>
                            <w:t xml:space="preserve">and Chronic Pain </w:t>
                          </w:r>
                          <w:r>
                            <w:rPr>
                              <w:rFonts w:ascii="Minion Pro" w:hAns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16.05pt;height:40.2pt;mso-wrap-distance-left:0pt;mso-wrap-distance-right:0pt;mso-wrap-distance-top:0pt;mso-wrap-distance-bottom:0pt;margin-top:48.3pt;mso-position-vertical-relative:page;margin-left:35pt;mso-position-horizontal-relative:page">
              <v:textbox inset="0in,0in,0in,0in">
                <w:txbxContent>
                  <w:p>
                    <w:pPr>
                      <w:pStyle w:val="Style19"/>
                      <w:spacing w:lineRule="exact" w:line="187"/>
                      <w:ind w:left="20" w:right="-10" w:hanging="0"/>
                      <w:rPr>
                        <w:rFonts w:ascii="Myriad Pro" w:hAnsi="Myriad Pro"/>
                        <w:color w:val="FFFFFF"/>
                      </w:rPr>
                    </w:pPr>
                    <w:r>
                      <w:rPr>
                        <w:rFonts w:ascii="Myriad Pro" w:hAnsi="Myriad Pro"/>
                        <w:color w:val="FFFFFF"/>
                      </w:rPr>
                      <w:t>International Conference on</w:t>
                    </w:r>
                  </w:p>
                  <w:p>
                    <w:pPr>
                      <w:pStyle w:val="Style26"/>
                      <w:spacing w:lineRule="exact" w:line="614"/>
                      <w:ind w:left="20" w:right="-10" w:hanging="0"/>
                      <w:rPr/>
                    </w:pPr>
                    <w:r>
                      <w:rPr>
                        <w:rFonts w:ascii="Impact" w:hAnsi="Impact"/>
                        <w:color w:val="FFFFFF"/>
                        <w:sz w:val="52"/>
                      </w:rPr>
                      <w:t xml:space="preserve">and Chronic Pain </w:t>
                    </w:r>
                    <w:r>
                      <w:rPr>
                        <w:rFonts w:ascii="Minion Pro" w:hAns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83" w:hanging="284"/>
      </w:pPr>
      <w:rPr>
        <w:sz w:val="18"/>
        <w:spacing w:val="-16"/>
        <w:b w:val="false"/>
        <w:szCs w:val="18"/>
        <w:w w:val="100"/>
        <w:rFonts w:ascii="Times New Roman" w:hAnsi="Times New Roman" w:eastAsia="Calibri" w:cs="Calibri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  <w:rFonts w:cs="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Tw Cen MT" w:hAnsi="Tw Cen MT" w:eastAsia="Tw Cen MT" w:cs="Tw Cen MT"/>
      <w:color w:val="00000A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uiPriority w:val="1"/>
    <w:qFormat/>
    <w:pPr>
      <w:spacing w:lineRule="exact" w:line="400" w:before="47" w:after="0"/>
      <w:ind w:left="100" w:hanging="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2">
    <w:name w:val="Heading 2"/>
    <w:basedOn w:val="Normal"/>
    <w:uiPriority w:val="1"/>
    <w:qFormat/>
    <w:pPr>
      <w:ind w:left="100" w:hanging="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3">
    <w:name w:val="Heading 3"/>
    <w:basedOn w:val="Normal"/>
    <w:uiPriority w:val="1"/>
    <w:qFormat/>
    <w:pPr>
      <w:ind w:left="100" w:hanging="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qFormat/>
    <w:rPr/>
  </w:style>
  <w:style w:type="character" w:styleId="Style11" w:customStyle="1">
    <w:name w:val="Верхний колонтитул Знак"/>
    <w:basedOn w:val="DefaultParagraphFont"/>
    <w:link w:val="style31"/>
    <w:uiPriority w:val="99"/>
    <w:qFormat/>
    <w:rPr>
      <w:rFonts w:ascii="Tw Cen MT" w:hAnsi="Tw Cen MT" w:eastAsia="Tw Cen MT" w:cs="Tw Cen MT"/>
    </w:rPr>
  </w:style>
  <w:style w:type="character" w:styleId="Style12" w:customStyle="1">
    <w:name w:val="Нижний колонтитул Знак"/>
    <w:basedOn w:val="DefaultParagraphFont"/>
    <w:link w:val="style32"/>
    <w:uiPriority w:val="99"/>
    <w:qFormat/>
    <w:rPr>
      <w:rFonts w:ascii="Tw Cen MT" w:hAnsi="Tw Cen MT" w:eastAsia="Tw Cen MT" w:cs="Tw Cen MT"/>
    </w:rPr>
  </w:style>
  <w:style w:type="character" w:styleId="Style13" w:customStyle="1">
    <w:name w:val="Текст выноски Знак"/>
    <w:basedOn w:val="DefaultParagraphFont"/>
    <w:link w:val="style153"/>
    <w:uiPriority w:val="99"/>
    <w:qFormat/>
    <w:rPr>
      <w:rFonts w:ascii="Tahoma" w:hAnsi="Tahoma" w:eastAsia="Tw Cen MT" w:cs="Tahoma"/>
      <w:sz w:val="16"/>
      <w:szCs w:val="16"/>
    </w:rPr>
  </w:style>
  <w:style w:type="character" w:styleId="Style14" w:customStyle="1">
    <w:name w:val="Интернет-ссылка"/>
    <w:basedOn w:val="DefaultParagraphFont"/>
    <w:uiPriority w:val="99"/>
    <w:rPr>
      <w:color w:val="0000FF"/>
      <w:u w:val="single"/>
    </w:rPr>
  </w:style>
  <w:style w:type="character" w:styleId="Style15" w:customStyle="1">
    <w:name w:val="Основной текст Знак"/>
    <w:basedOn w:val="DefaultParagraphFont"/>
    <w:link w:val="style66"/>
    <w:uiPriority w:val="1"/>
    <w:qFormat/>
    <w:rPr>
      <w:rFonts w:ascii="Tw Cen MT" w:hAnsi="Tw Cen MT" w:eastAsia="Tw Cen MT" w:cs="Tw Cen MT"/>
      <w:sz w:val="18"/>
      <w:szCs w:val="18"/>
    </w:rPr>
  </w:style>
  <w:style w:type="character" w:styleId="ListLabel1" w:customStyle="1">
    <w:name w:val="ListLabel 1"/>
    <w:qFormat/>
    <w:rPr>
      <w:rFonts w:eastAsia="Calibri" w:cs="Calibri"/>
      <w:spacing w:val="-16"/>
      <w:w w:val="100"/>
      <w:sz w:val="18"/>
      <w:szCs w:val="18"/>
    </w:rPr>
  </w:style>
  <w:style w:type="character" w:styleId="ListLabel2" w:customStyle="1">
    <w:name w:val="ListLabel 2"/>
    <w:qFormat/>
    <w:rPr>
      <w:rFonts w:eastAsia="Calibri" w:cs="Calibri"/>
      <w:spacing w:val="-16"/>
      <w:w w:val="100"/>
      <w:sz w:val="18"/>
      <w:szCs w:val="18"/>
    </w:rPr>
  </w:style>
  <w:style w:type="character" w:styleId="ListLabel3" w:customStyle="1">
    <w:name w:val="ListLabel 3"/>
    <w:qFormat/>
    <w:rPr>
      <w:rFonts w:ascii="Times New Roman" w:hAnsi="Times New Roman" w:eastAsia="Calibri" w:cs="Calibri"/>
      <w:spacing w:val="-16"/>
      <w:w w:val="100"/>
      <w:sz w:val="18"/>
      <w:szCs w:val="18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ascii="Times New Roman" w:hAnsi="Times New Roman" w:cs="Times New Roman"/>
      <w:sz w:val="20"/>
      <w:szCs w:val="20"/>
    </w:rPr>
  </w:style>
  <w:style w:type="character" w:styleId="Style16">
    <w:name w:val="Выделение"/>
    <w:basedOn w:val="DefaultParagraphFont"/>
    <w:qFormat/>
    <w:rPr>
      <w:i/>
      <w:iCs/>
    </w:rPr>
  </w:style>
  <w:style w:type="character" w:styleId="ListLabel8" w:customStyle="1">
    <w:name w:val="ListLabel 8"/>
    <w:qFormat/>
    <w:rPr>
      <w:rFonts w:ascii="Times New Roman" w:hAnsi="Times New Roman" w:eastAsia="Calibri" w:cs="Calibri"/>
      <w:spacing w:val="-16"/>
      <w:w w:val="100"/>
      <w:sz w:val="18"/>
      <w:szCs w:val="18"/>
    </w:rPr>
  </w:style>
  <w:style w:type="character" w:styleId="ListLabel9" w:customStyle="1">
    <w:name w:val="ListLabel 9"/>
    <w:qFormat/>
    <w:rPr>
      <w:rFonts w:cs="Symbol"/>
    </w:rPr>
  </w:style>
  <w:style w:type="character" w:styleId="ListLabel10" w:customStyle="1">
    <w:name w:val="ListLabel 10"/>
    <w:qFormat/>
    <w:rPr>
      <w:rFonts w:cs="Symbol"/>
    </w:rPr>
  </w:style>
  <w:style w:type="character" w:styleId="ListLabel11" w:customStyle="1">
    <w:name w:val="ListLabel 11"/>
    <w:qFormat/>
    <w:rPr>
      <w:rFonts w:cs="Symbol"/>
    </w:rPr>
  </w:style>
  <w:style w:type="character" w:styleId="ListLabel12" w:customStyle="1">
    <w:name w:val="ListLabel 12"/>
    <w:qFormat/>
    <w:rPr>
      <w:rFonts w:cs="Symbol"/>
    </w:rPr>
  </w:style>
  <w:style w:type="character" w:styleId="ListLabel13" w:customStyle="1">
    <w:name w:val="ListLabel 13"/>
    <w:qFormat/>
    <w:rPr>
      <w:rFonts w:cs="Symbol"/>
    </w:rPr>
  </w:style>
  <w:style w:type="character" w:styleId="ListLabel14" w:customStyle="1">
    <w:name w:val="ListLabel 14"/>
    <w:qFormat/>
    <w:rPr>
      <w:rFonts w:cs="Symbol"/>
    </w:rPr>
  </w:style>
  <w:style w:type="character" w:styleId="ListLabel15" w:customStyle="1">
    <w:name w:val="ListLabel 15"/>
    <w:qFormat/>
    <w:rPr>
      <w:rFonts w:cs="Symbol"/>
    </w:rPr>
  </w:style>
  <w:style w:type="character" w:styleId="ListLabel16" w:customStyle="1">
    <w:name w:val="ListLabel 16"/>
    <w:qFormat/>
    <w:rPr>
      <w:rFonts w:cs="Symbol"/>
    </w:rPr>
  </w:style>
  <w:style w:type="character" w:styleId="ListLabel17" w:customStyle="1">
    <w:name w:val="ListLabel 17"/>
    <w:qFormat/>
    <w:rPr>
      <w:rFonts w:ascii="Times New Roman" w:hAnsi="Times New Roman" w:cs="Symbol"/>
      <w:sz w:val="20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Wingdings"/>
    </w:rPr>
  </w:style>
  <w:style w:type="character" w:styleId="ListLabel20" w:customStyle="1">
    <w:name w:val="ListLabel 20"/>
    <w:qFormat/>
    <w:rPr>
      <w:rFonts w:cs="Symbol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Wingdings"/>
    </w:rPr>
  </w:style>
  <w:style w:type="character" w:styleId="ListLabel23" w:customStyle="1">
    <w:name w:val="ListLabel 23"/>
    <w:qFormat/>
    <w:rPr>
      <w:rFonts w:cs="Symbol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Wingdings"/>
    </w:rPr>
  </w:style>
  <w:style w:type="character" w:styleId="ListLabel26" w:customStyle="1">
    <w:name w:val="ListLabel 26"/>
    <w:qFormat/>
    <w:rPr>
      <w:rFonts w:ascii="Times New Roman" w:hAnsi="Times New Roman" w:cs="Times New Roman"/>
      <w:color w:val="1B7EC4"/>
      <w:sz w:val="18"/>
      <w:szCs w:val="18"/>
      <w:u w:val="none"/>
      <w:effect w:val="none"/>
      <w:lang w:val="en-US"/>
    </w:rPr>
  </w:style>
  <w:style w:type="character" w:styleId="ListLabel27" w:customStyle="1">
    <w:name w:val="ListLabel 27"/>
    <w:qFormat/>
    <w:rPr>
      <w:rFonts w:ascii="Times New Roman" w:hAnsi="Times New Roman" w:cs="Times New Roman"/>
      <w:sz w:val="20"/>
      <w:szCs w:val="20"/>
    </w:rPr>
  </w:style>
  <w:style w:type="character" w:styleId="Style17" w:customStyle="1">
    <w:name w:val="Маркеры списка"/>
    <w:qFormat/>
    <w:rPr>
      <w:rFonts w:ascii="OpenSymbol" w:hAnsi="OpenSymbol" w:eastAsia="OpenSymbol" w:cs="OpenSymbol"/>
    </w:rPr>
  </w:style>
  <w:style w:type="character" w:styleId="ListLabel28">
    <w:name w:val="ListLabel 28"/>
    <w:qFormat/>
    <w:rPr>
      <w:rFonts w:ascii="Times New Roman" w:hAnsi="Times New Roman" w:eastAsia="Calibri" w:cs="Calibri"/>
      <w:b w:val="false"/>
      <w:spacing w:val="-16"/>
      <w:w w:val="100"/>
      <w:sz w:val="18"/>
      <w:szCs w:val="18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cs="Symbol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ascii="Times New Roman" w:hAnsi="Times New Roman" w:cs="Symbol"/>
      <w:sz w:val="20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ascii="Times New Roman" w:hAnsi="Times New Roman" w:cs="Times New Roman"/>
      <w:color w:val="1B7EC4"/>
      <w:sz w:val="18"/>
      <w:szCs w:val="18"/>
      <w:u w:val="none"/>
    </w:rPr>
  </w:style>
  <w:style w:type="character" w:styleId="ListLabel47">
    <w:name w:val="ListLabel 47"/>
    <w:qFormat/>
    <w:rPr>
      <w:rFonts w:ascii="Times New Roman" w:hAnsi="Times New Roman" w:cs="Times New Roman"/>
      <w:sz w:val="20"/>
      <w:szCs w:val="20"/>
    </w:rPr>
  </w:style>
  <w:style w:type="character" w:styleId="ListLabel48">
    <w:name w:val="ListLabel 48"/>
    <w:qFormat/>
    <w:rPr>
      <w:rFonts w:ascii="Times New Roman" w:hAnsi="Times New Roman" w:cs="Times New Roman"/>
      <w:sz w:val="20"/>
      <w:szCs w:val="20"/>
      <w:lang w:val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9">
    <w:name w:val="Body Text"/>
    <w:basedOn w:val="Normal"/>
    <w:link w:val="style4101"/>
    <w:uiPriority w:val="1"/>
    <w:qFormat/>
    <w:pPr/>
    <w:rPr>
      <w:sz w:val="18"/>
      <w:szCs w:val="18"/>
    </w:rPr>
  </w:style>
  <w:style w:type="paragraph" w:styleId="Style20">
    <w:name w:val="List"/>
    <w:basedOn w:val="Style19"/>
    <w:pPr/>
    <w:rPr>
      <w:rFonts w:cs="Lucida 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lineRule="exact" w:line="200" w:before="90" w:after="0"/>
      <w:ind w:left="383" w:hanging="283"/>
      <w:jc w:val="both"/>
    </w:pPr>
    <w:rPr>
      <w:rFonts w:ascii="Calibri" w:hAnsi="Calibri" w:eastAsia="Calibri" w:cs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24">
    <w:name w:val="Header"/>
    <w:basedOn w:val="Normal"/>
    <w:link w:val="style4097"/>
    <w:uiPriority w:val="99"/>
    <w:pPr>
      <w:tabs>
        <w:tab w:val="center" w:pos="4513" w:leader="none"/>
        <w:tab w:val="right" w:pos="9026" w:leader="none"/>
      </w:tabs>
    </w:pPr>
    <w:rPr/>
  </w:style>
  <w:style w:type="paragraph" w:styleId="Style25">
    <w:name w:val="Footer"/>
    <w:basedOn w:val="Normal"/>
    <w:link w:val="style4098"/>
    <w:uiPriority w:val="99"/>
    <w:pPr>
      <w:tabs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link w:val="style4099"/>
    <w:uiPriority w:val="99"/>
    <w:qFormat/>
    <w:pPr/>
    <w:rPr>
      <w:rFonts w:ascii="Tahoma" w:hAnsi="Tahoma" w:cs="Tahoma"/>
      <w:sz w:val="16"/>
      <w:szCs w:val="16"/>
    </w:rPr>
  </w:style>
  <w:style w:type="paragraph" w:styleId="Style2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qFormat/>
  </w:style>
  <w:style w:type="table" w:default="1" w:styleId="style105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1.wmf"/><Relationship Id="rId5" Type="http://schemas.openxmlformats.org/officeDocument/2006/relationships/image" Target="media/image2.jpeg"/><Relationship Id="rId6" Type="http://schemas.openxmlformats.org/officeDocument/2006/relationships/hyperlink" Target="mailto:drXXXXXXX@xxxmail.com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Application>LibreOffice/6.0.2.1$Windows_X86_64 LibreOffice_project/f7f06a8f319e4b62f9bc5095aa112a65d2f3ac89</Application>
  <Pages>2</Pages>
  <Words>617</Words>
  <Characters>3690</Characters>
  <CharactersWithSpaces>4299</CharactersWithSpaces>
  <Paragraphs>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2018-09-07T17:32:02Z</dcterms:created>
  <dc:creator>mehaboobi shaik</dc:creator>
  <dc:description/>
  <dc:language>ru-RU</dc:language>
  <cp:lastModifiedBy/>
  <dcterms:modified xsi:type="dcterms:W3CDTF">2018-09-08T12:33:20Z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</vt:lpwstr>
  </property>
  <property fmtid="{D5CDD505-2E9C-101B-9397-08002B2CF9AE}" pid="3" name="Company">
    <vt:lpwstr>Microsoft</vt:lpwstr>
  </property>
  <property fmtid="{D5CDD505-2E9C-101B-9397-08002B2CF9AE}" pid="4" name="Created">
    <vt:filetime>2016-08-23T00:00:00Z</vt:filetime>
  </property>
  <property fmtid="{D5CDD505-2E9C-101B-9397-08002B2CF9AE}" pid="5" name="Creator">
    <vt:lpwstr>Adobe InDesign CC 2015 (Windows)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2016-08-23T00:00:00Z</vt:filetime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