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66B6" w:rsidRDefault="002766B6" w:rsidP="002766B6">
      <w:pPr>
        <w:jc w:val="right"/>
        <w:rPr>
          <w:rFonts w:ascii="Garamond" w:hAnsi="Garamond"/>
          <w:b/>
          <w:sz w:val="32"/>
          <w:szCs w:val="32"/>
        </w:rPr>
      </w:pPr>
      <w:r>
        <w:rPr>
          <w:rFonts w:ascii="Garamond" w:hAnsi="Garamond"/>
          <w:b/>
          <w:noProof/>
          <w:sz w:val="32"/>
          <w:szCs w:val="32"/>
        </w:rPr>
        <w:drawing>
          <wp:inline distT="0" distB="0" distL="0" distR="0">
            <wp:extent cx="1685580" cy="1571901"/>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6016" cy="1581633"/>
                    </a:xfrm>
                    <a:prstGeom prst="rect">
                      <a:avLst/>
                    </a:prstGeom>
                    <a:noFill/>
                    <a:ln>
                      <a:noFill/>
                    </a:ln>
                  </pic:spPr>
                </pic:pic>
              </a:graphicData>
            </a:graphic>
          </wp:inline>
        </w:drawing>
      </w:r>
      <w:bookmarkStart w:id="0" w:name="_GoBack"/>
      <w:bookmarkEnd w:id="0"/>
    </w:p>
    <w:p w:rsidR="004F5E15" w:rsidRDefault="004F5E15" w:rsidP="00C87E02">
      <w:pPr>
        <w:jc w:val="center"/>
        <w:rPr>
          <w:rFonts w:ascii="Garamond" w:hAnsi="Garamond"/>
          <w:b/>
          <w:bCs/>
          <w:sz w:val="32"/>
          <w:szCs w:val="32"/>
        </w:rPr>
      </w:pPr>
      <w:r>
        <w:rPr>
          <w:rFonts w:ascii="Garamond" w:hAnsi="Garamond"/>
          <w:b/>
          <w:sz w:val="32"/>
          <w:szCs w:val="32"/>
        </w:rPr>
        <w:t>Optimization of an In-vitro Regeneration Protocol for Rough Lemon Rootstock (</w:t>
      </w:r>
      <w:r>
        <w:rPr>
          <w:rFonts w:ascii="Garamond" w:hAnsi="Garamond"/>
          <w:b/>
          <w:bCs/>
          <w:i/>
          <w:iCs/>
          <w:sz w:val="32"/>
          <w:szCs w:val="32"/>
        </w:rPr>
        <w:t xml:space="preserve">Citrus </w:t>
      </w:r>
      <w:proofErr w:type="spellStart"/>
      <w:r>
        <w:rPr>
          <w:rFonts w:ascii="Garamond" w:hAnsi="Garamond"/>
          <w:b/>
          <w:bCs/>
          <w:i/>
          <w:iCs/>
          <w:sz w:val="32"/>
          <w:szCs w:val="32"/>
        </w:rPr>
        <w:t>jambhiri</w:t>
      </w:r>
      <w:proofErr w:type="spellEnd"/>
      <w:r>
        <w:rPr>
          <w:rFonts w:ascii="Garamond" w:hAnsi="Garamond"/>
          <w:b/>
          <w:bCs/>
          <w:i/>
          <w:iCs/>
          <w:sz w:val="32"/>
          <w:szCs w:val="32"/>
        </w:rPr>
        <w:t xml:space="preserve"> </w:t>
      </w:r>
      <w:r>
        <w:rPr>
          <w:rFonts w:ascii="Garamond" w:hAnsi="Garamond"/>
          <w:b/>
          <w:bCs/>
          <w:sz w:val="32"/>
          <w:szCs w:val="32"/>
        </w:rPr>
        <w:t xml:space="preserve">L.) via Direct Organogenesis </w:t>
      </w:r>
    </w:p>
    <w:p w:rsidR="004F5E15" w:rsidRDefault="004F5E15" w:rsidP="004F5E15">
      <w:pPr>
        <w:jc w:val="center"/>
        <w:rPr>
          <w:rFonts w:ascii="Garamond" w:hAnsi="Garamond"/>
          <w:b/>
          <w:sz w:val="24"/>
          <w:szCs w:val="28"/>
        </w:rPr>
      </w:pPr>
      <w:r>
        <w:rPr>
          <w:rFonts w:ascii="Garamond" w:hAnsi="Garamond"/>
          <w:b/>
          <w:sz w:val="24"/>
          <w:szCs w:val="28"/>
        </w:rPr>
        <w:t xml:space="preserve">Mr. </w:t>
      </w:r>
      <w:proofErr w:type="spellStart"/>
      <w:r>
        <w:rPr>
          <w:rFonts w:ascii="Garamond" w:hAnsi="Garamond"/>
          <w:b/>
          <w:sz w:val="24"/>
          <w:szCs w:val="28"/>
        </w:rPr>
        <w:t>Molla</w:t>
      </w:r>
      <w:proofErr w:type="spellEnd"/>
      <w:r>
        <w:rPr>
          <w:rFonts w:ascii="Garamond" w:hAnsi="Garamond"/>
          <w:b/>
          <w:sz w:val="24"/>
          <w:szCs w:val="28"/>
        </w:rPr>
        <w:t xml:space="preserve"> </w:t>
      </w:r>
      <w:proofErr w:type="spellStart"/>
      <w:r>
        <w:rPr>
          <w:rFonts w:ascii="Garamond" w:hAnsi="Garamond"/>
          <w:b/>
          <w:sz w:val="24"/>
          <w:szCs w:val="28"/>
        </w:rPr>
        <w:t>Gereme</w:t>
      </w:r>
      <w:proofErr w:type="spellEnd"/>
      <w:r>
        <w:rPr>
          <w:rFonts w:ascii="Garamond" w:hAnsi="Garamond"/>
          <w:b/>
          <w:sz w:val="24"/>
          <w:szCs w:val="28"/>
        </w:rPr>
        <w:t xml:space="preserve"> </w:t>
      </w:r>
      <w:proofErr w:type="spellStart"/>
      <w:r>
        <w:rPr>
          <w:rFonts w:ascii="Garamond" w:hAnsi="Garamond"/>
          <w:b/>
          <w:sz w:val="24"/>
          <w:szCs w:val="28"/>
        </w:rPr>
        <w:t>Taye</w:t>
      </w:r>
      <w:proofErr w:type="spellEnd"/>
    </w:p>
    <w:p w:rsidR="004F5E15" w:rsidRPr="00C87E02" w:rsidRDefault="004F5E15" w:rsidP="00C87E02">
      <w:pPr>
        <w:jc w:val="center"/>
        <w:rPr>
          <w:rFonts w:ascii="Garamond" w:hAnsi="Garamond"/>
          <w:b/>
          <w:sz w:val="24"/>
          <w:szCs w:val="28"/>
        </w:rPr>
      </w:pPr>
      <w:r w:rsidRPr="00C87E02">
        <w:rPr>
          <w:rFonts w:ascii="Garamond" w:hAnsi="Garamond"/>
          <w:b/>
          <w:sz w:val="24"/>
          <w:szCs w:val="28"/>
        </w:rPr>
        <w:t xml:space="preserve">Department of Quality Assurance, Research &amp; Development, </w:t>
      </w:r>
      <w:proofErr w:type="spellStart"/>
      <w:r w:rsidRPr="00C87E02">
        <w:rPr>
          <w:rFonts w:ascii="Garamond" w:hAnsi="Garamond"/>
          <w:b/>
          <w:sz w:val="24"/>
          <w:szCs w:val="28"/>
        </w:rPr>
        <w:t>Tigray</w:t>
      </w:r>
      <w:proofErr w:type="spellEnd"/>
      <w:r w:rsidRPr="00C87E02">
        <w:rPr>
          <w:rFonts w:ascii="Garamond" w:hAnsi="Garamond"/>
          <w:b/>
          <w:sz w:val="24"/>
          <w:szCs w:val="28"/>
        </w:rPr>
        <w:t xml:space="preserve"> Biotechnology Center </w:t>
      </w:r>
      <w:proofErr w:type="spellStart"/>
      <w:r w:rsidR="00DF6140" w:rsidRPr="00C87E02">
        <w:rPr>
          <w:rFonts w:ascii="Garamond" w:hAnsi="Garamond"/>
          <w:b/>
          <w:sz w:val="24"/>
          <w:szCs w:val="28"/>
        </w:rPr>
        <w:t>Plc</w:t>
      </w:r>
      <w:proofErr w:type="spellEnd"/>
      <w:r w:rsidR="00DF6140" w:rsidRPr="00C87E02">
        <w:rPr>
          <w:rFonts w:ascii="Garamond" w:hAnsi="Garamond"/>
          <w:b/>
          <w:sz w:val="24"/>
          <w:szCs w:val="28"/>
        </w:rPr>
        <w:t>,</w:t>
      </w:r>
      <w:r w:rsidRPr="00C87E02">
        <w:rPr>
          <w:rFonts w:ascii="Garamond" w:hAnsi="Garamond"/>
          <w:b/>
          <w:sz w:val="24"/>
          <w:szCs w:val="28"/>
        </w:rPr>
        <w:t xml:space="preserve"> </w:t>
      </w:r>
      <w:proofErr w:type="spellStart"/>
      <w:r w:rsidRPr="00C87E02">
        <w:rPr>
          <w:rFonts w:ascii="Garamond" w:hAnsi="Garamond"/>
          <w:b/>
          <w:sz w:val="24"/>
          <w:szCs w:val="28"/>
        </w:rPr>
        <w:t>Mekelle</w:t>
      </w:r>
      <w:proofErr w:type="spellEnd"/>
      <w:r w:rsidRPr="00C87E02">
        <w:rPr>
          <w:rFonts w:ascii="Garamond" w:hAnsi="Garamond"/>
          <w:b/>
          <w:sz w:val="24"/>
          <w:szCs w:val="28"/>
        </w:rPr>
        <w:t>, Ethiopia</w:t>
      </w:r>
    </w:p>
    <w:p w:rsidR="004F5E15" w:rsidRDefault="004F5E15" w:rsidP="004F5E15">
      <w:pPr>
        <w:spacing w:line="360" w:lineRule="auto"/>
        <w:jc w:val="both"/>
        <w:rPr>
          <w:rFonts w:ascii="Garamond" w:hAnsi="Garamond"/>
          <w:sz w:val="24"/>
          <w:szCs w:val="24"/>
        </w:rPr>
      </w:pPr>
      <w:r>
        <w:rPr>
          <w:rFonts w:ascii="Garamond" w:hAnsi="Garamond"/>
          <w:sz w:val="24"/>
          <w:szCs w:val="24"/>
        </w:rPr>
        <w:t xml:space="preserve">Standardization of a reproducible protocol for in-vitro rough lemon rootstock mass propagation was conducted at </w:t>
      </w:r>
      <w:proofErr w:type="spellStart"/>
      <w:r>
        <w:rPr>
          <w:rFonts w:ascii="Garamond" w:hAnsi="Garamond"/>
          <w:sz w:val="24"/>
          <w:szCs w:val="24"/>
        </w:rPr>
        <w:t>Tigray</w:t>
      </w:r>
      <w:proofErr w:type="spellEnd"/>
      <w:r>
        <w:rPr>
          <w:rFonts w:ascii="Garamond" w:hAnsi="Garamond"/>
          <w:sz w:val="24"/>
          <w:szCs w:val="24"/>
        </w:rPr>
        <w:t xml:space="preserve"> Biotechnology Center Plc., Plant Tissue Culture Laboratory, </w:t>
      </w:r>
      <w:proofErr w:type="spellStart"/>
      <w:r>
        <w:rPr>
          <w:rFonts w:ascii="Garamond" w:hAnsi="Garamond"/>
          <w:sz w:val="24"/>
          <w:szCs w:val="24"/>
        </w:rPr>
        <w:t>Mekelle</w:t>
      </w:r>
      <w:proofErr w:type="spellEnd"/>
      <w:r>
        <w:rPr>
          <w:rFonts w:ascii="Garamond" w:hAnsi="Garamond"/>
          <w:sz w:val="24"/>
          <w:szCs w:val="24"/>
        </w:rPr>
        <w:t xml:space="preserve">, Ethiopia in 2015/2016 cropping season. Rough lemon is the frequently used rootstock both in the world and Ethiopia citrus fruit production, particularly in the </w:t>
      </w:r>
      <w:proofErr w:type="spellStart"/>
      <w:r>
        <w:rPr>
          <w:rFonts w:ascii="Garamond" w:hAnsi="Garamond"/>
          <w:sz w:val="24"/>
          <w:szCs w:val="24"/>
        </w:rPr>
        <w:t>Tigray</w:t>
      </w:r>
      <w:proofErr w:type="spellEnd"/>
      <w:r>
        <w:rPr>
          <w:rFonts w:ascii="Garamond" w:hAnsi="Garamond"/>
          <w:sz w:val="24"/>
          <w:szCs w:val="24"/>
        </w:rPr>
        <w:t xml:space="preserve"> region due to its superior performance over other rootstocks. However, seedlings produced through conventional ways are not recommended to be used in orchards due to variability problems caused by its </w:t>
      </w:r>
      <w:proofErr w:type="spellStart"/>
      <w:r>
        <w:rPr>
          <w:rFonts w:ascii="Garamond" w:hAnsi="Garamond"/>
          <w:sz w:val="24"/>
          <w:szCs w:val="24"/>
        </w:rPr>
        <w:t>polyembrony</w:t>
      </w:r>
      <w:proofErr w:type="spellEnd"/>
      <w:r>
        <w:rPr>
          <w:rFonts w:ascii="Garamond" w:hAnsi="Garamond"/>
          <w:sz w:val="24"/>
          <w:szCs w:val="24"/>
        </w:rPr>
        <w:t xml:space="preserve"> nature. To overcome such variations, in-vitro regeneration of rough lemon rootstocks was performed using nodal segments and shoot tips as explant types. The explants were inoculated on MS medium supplemented with 5%scurose and 250 mg/L streptomycin followed to surface sterilization. The most effective and reproducible </w:t>
      </w:r>
      <w:proofErr w:type="spellStart"/>
      <w:r>
        <w:rPr>
          <w:rFonts w:ascii="Garamond" w:hAnsi="Garamond"/>
          <w:sz w:val="24"/>
          <w:szCs w:val="24"/>
        </w:rPr>
        <w:t>auxin</w:t>
      </w:r>
      <w:proofErr w:type="spellEnd"/>
      <w:r>
        <w:rPr>
          <w:rFonts w:ascii="Garamond" w:hAnsi="Garamond"/>
          <w:sz w:val="24"/>
          <w:szCs w:val="24"/>
        </w:rPr>
        <w:t xml:space="preserve"> (NAA), </w:t>
      </w:r>
      <w:proofErr w:type="spellStart"/>
      <w:r>
        <w:rPr>
          <w:rFonts w:ascii="Garamond" w:hAnsi="Garamond"/>
          <w:sz w:val="24"/>
          <w:szCs w:val="24"/>
        </w:rPr>
        <w:t>cytokinin</w:t>
      </w:r>
      <w:proofErr w:type="spellEnd"/>
      <w:r>
        <w:rPr>
          <w:rFonts w:ascii="Garamond" w:hAnsi="Garamond"/>
          <w:sz w:val="24"/>
          <w:szCs w:val="24"/>
        </w:rPr>
        <w:t xml:space="preserve"> (BA) and </w:t>
      </w:r>
      <w:proofErr w:type="spellStart"/>
      <w:r>
        <w:rPr>
          <w:rFonts w:ascii="Garamond" w:hAnsi="Garamond"/>
          <w:sz w:val="24"/>
          <w:szCs w:val="24"/>
        </w:rPr>
        <w:t>gebrillenllic</w:t>
      </w:r>
      <w:proofErr w:type="spellEnd"/>
      <w:r>
        <w:rPr>
          <w:rFonts w:ascii="Garamond" w:hAnsi="Garamond"/>
          <w:sz w:val="24"/>
          <w:szCs w:val="24"/>
        </w:rPr>
        <w:t xml:space="preserve"> acid (GA</w:t>
      </w:r>
      <w:r>
        <w:rPr>
          <w:rFonts w:ascii="Garamond" w:hAnsi="Garamond"/>
          <w:sz w:val="24"/>
          <w:szCs w:val="24"/>
          <w:vertAlign w:val="subscript"/>
        </w:rPr>
        <w:t>3</w:t>
      </w:r>
      <w:r>
        <w:rPr>
          <w:rFonts w:ascii="Garamond" w:hAnsi="Garamond"/>
          <w:sz w:val="24"/>
          <w:szCs w:val="24"/>
        </w:rPr>
        <w:t>) for in-vitro shoot and root induction in rough lemon rootstocks were determined. Almost all IBA and BA treatments resulted in almost 100 % shoot induction except for at 0.0 and 0.1 mg/L IBA and at 1.5 and 2.0 BA mg/L. Nodal segments induced a higher percentage of explant response with longer shoots in a shorter period of time than shoot tips, which produced more shoots and leaves than nodal segments. The effect different BA and IBA concentrations on various parameters of proliferation were studied. Full strength medium produced more regenerated shoots and leaves per shoot than half-strength MS medium. In addition, longer shoots formed with 0.1 mg/L GA</w:t>
      </w:r>
      <w:r>
        <w:rPr>
          <w:rFonts w:ascii="Garamond" w:hAnsi="Garamond"/>
          <w:sz w:val="24"/>
          <w:szCs w:val="24"/>
          <w:vertAlign w:val="subscript"/>
        </w:rPr>
        <w:t>3</w:t>
      </w:r>
      <w:r>
        <w:rPr>
          <w:rFonts w:ascii="Garamond" w:hAnsi="Garamond"/>
          <w:sz w:val="24"/>
          <w:szCs w:val="24"/>
        </w:rPr>
        <w:t xml:space="preserve"> than culture medium without this plant growth regulator. Root length decreased with higher concentration of NAA and the longest root (2.5</w:t>
      </w:r>
      <w:r>
        <w:rPr>
          <w:rFonts w:ascii="Garamond" w:hAnsi="Garamond"/>
          <w:color w:val="FF0000"/>
          <w:sz w:val="24"/>
          <w:szCs w:val="24"/>
        </w:rPr>
        <w:t xml:space="preserve"> </w:t>
      </w:r>
      <w:r>
        <w:rPr>
          <w:rFonts w:ascii="Garamond" w:hAnsi="Garamond"/>
          <w:sz w:val="24"/>
          <w:szCs w:val="24"/>
        </w:rPr>
        <w:t xml:space="preserve">± 0.22 cm) was found in the 1.0 mg /L  NAA and </w:t>
      </w:r>
      <w:r>
        <w:rPr>
          <w:rFonts w:ascii="Garamond" w:hAnsi="Garamond"/>
          <w:sz w:val="24"/>
          <w:szCs w:val="24"/>
        </w:rPr>
        <w:lastRenderedPageBreak/>
        <w:t xml:space="preserve">followed by (1.95 ±0.22cm) at 0.5 mg/L of NAA. The rooted plants were successfully established in the greenhouse on the substrate called coco-peat and sand, and their survival rate was found to be 98%. These results suggest that standardization of these factors can help in development of a commercially viable tissue culture system for rough lemon. Moreover, it signifies the need of plant variety based in-vitro protocol development and optimization across citrus species. </w:t>
      </w:r>
    </w:p>
    <w:p w:rsidR="004F5E15" w:rsidRDefault="004F5E15" w:rsidP="004F5E15">
      <w:pPr>
        <w:jc w:val="both"/>
        <w:rPr>
          <w:rFonts w:ascii="Garamond" w:hAnsi="Garamond"/>
          <w:sz w:val="24"/>
          <w:szCs w:val="24"/>
        </w:rPr>
      </w:pPr>
      <w:r>
        <w:rPr>
          <w:rFonts w:ascii="Garamond" w:hAnsi="Garamond"/>
          <w:b/>
          <w:i/>
          <w:sz w:val="24"/>
          <w:szCs w:val="24"/>
        </w:rPr>
        <w:t>Keywords:</w:t>
      </w:r>
      <w:r>
        <w:rPr>
          <w:rFonts w:ascii="Garamond" w:hAnsi="Garamond"/>
          <w:sz w:val="24"/>
          <w:szCs w:val="24"/>
        </w:rPr>
        <w:t xml:space="preserve"> </w:t>
      </w:r>
      <w:r>
        <w:rPr>
          <w:rFonts w:ascii="Garamond" w:hAnsi="Garamond"/>
          <w:sz w:val="24"/>
        </w:rPr>
        <w:t>BA, IBA, nodal segment, shoot tip, shoot and root induction</w:t>
      </w:r>
      <w:r>
        <w:rPr>
          <w:rFonts w:ascii="Garamond" w:hAnsi="Garamond"/>
          <w:sz w:val="28"/>
          <w:szCs w:val="24"/>
        </w:rPr>
        <w:t xml:space="preserve"> </w:t>
      </w:r>
    </w:p>
    <w:p w:rsidR="00B96ABB" w:rsidRPr="00DD0CB8" w:rsidRDefault="0027738C">
      <w:pPr>
        <w:rPr>
          <w:rFonts w:ascii="Times New Roman" w:hAnsi="Times New Roman"/>
        </w:rPr>
      </w:pPr>
      <w:r w:rsidRPr="00DD0CB8">
        <w:rPr>
          <w:rFonts w:ascii="Times New Roman" w:hAnsi="Times New Roman"/>
          <w:sz w:val="24"/>
        </w:rPr>
        <w:t>Biography</w:t>
      </w:r>
      <w:r w:rsidRPr="00DD0CB8">
        <w:rPr>
          <w:rFonts w:ascii="Times New Roman" w:hAnsi="Times New Roman"/>
        </w:rPr>
        <w:t xml:space="preserve"> </w:t>
      </w:r>
    </w:p>
    <w:p w:rsidR="0027738C" w:rsidRDefault="0027738C" w:rsidP="004A7A5C">
      <w:pPr>
        <w:spacing w:line="360" w:lineRule="auto"/>
        <w:jc w:val="both"/>
        <w:rPr>
          <w:rFonts w:ascii="Times New Roman" w:hAnsi="Times New Roman"/>
          <w:sz w:val="24"/>
        </w:rPr>
      </w:pPr>
      <w:r w:rsidRPr="000664E3">
        <w:rPr>
          <w:rFonts w:ascii="Times New Roman" w:hAnsi="Times New Roman"/>
          <w:b/>
          <w:sz w:val="24"/>
        </w:rPr>
        <w:t xml:space="preserve">Mr. </w:t>
      </w:r>
      <w:proofErr w:type="spellStart"/>
      <w:r w:rsidRPr="000664E3">
        <w:rPr>
          <w:rFonts w:ascii="Times New Roman" w:hAnsi="Times New Roman"/>
          <w:b/>
          <w:sz w:val="24"/>
        </w:rPr>
        <w:t>Molla</w:t>
      </w:r>
      <w:proofErr w:type="spellEnd"/>
      <w:r w:rsidRPr="000664E3">
        <w:rPr>
          <w:rFonts w:ascii="Times New Roman" w:hAnsi="Times New Roman"/>
          <w:b/>
          <w:sz w:val="24"/>
        </w:rPr>
        <w:t xml:space="preserve"> </w:t>
      </w:r>
      <w:proofErr w:type="spellStart"/>
      <w:r w:rsidRPr="000664E3">
        <w:rPr>
          <w:rFonts w:ascii="Times New Roman" w:hAnsi="Times New Roman"/>
          <w:b/>
          <w:sz w:val="24"/>
        </w:rPr>
        <w:t>Gereme</w:t>
      </w:r>
      <w:proofErr w:type="spellEnd"/>
      <w:r w:rsidRPr="004A7A5C">
        <w:rPr>
          <w:rFonts w:ascii="Times New Roman" w:hAnsi="Times New Roman"/>
          <w:sz w:val="24"/>
        </w:rPr>
        <w:t xml:space="preserve"> has completed his BSc at the age of 27 years from </w:t>
      </w:r>
      <w:proofErr w:type="spellStart"/>
      <w:r w:rsidRPr="004A7A5C">
        <w:rPr>
          <w:rFonts w:ascii="Times New Roman" w:hAnsi="Times New Roman"/>
          <w:sz w:val="24"/>
        </w:rPr>
        <w:t>Mekelle</w:t>
      </w:r>
      <w:proofErr w:type="spellEnd"/>
      <w:r w:rsidRPr="004A7A5C">
        <w:rPr>
          <w:rFonts w:ascii="Times New Roman" w:hAnsi="Times New Roman"/>
          <w:sz w:val="24"/>
        </w:rPr>
        <w:t xml:space="preserve"> University in Ethiopia and MSc studies (In Agricultural Engineering under specialization of Molecular Plant Biotechnology) from University of Pannonia, </w:t>
      </w:r>
      <w:proofErr w:type="spellStart"/>
      <w:r w:rsidRPr="004A7A5C">
        <w:rPr>
          <w:rFonts w:ascii="Times New Roman" w:hAnsi="Times New Roman"/>
          <w:sz w:val="24"/>
        </w:rPr>
        <w:t>Georgikon</w:t>
      </w:r>
      <w:proofErr w:type="spellEnd"/>
      <w:r w:rsidRPr="004A7A5C">
        <w:rPr>
          <w:rFonts w:ascii="Times New Roman" w:hAnsi="Times New Roman"/>
          <w:sz w:val="24"/>
        </w:rPr>
        <w:t xml:space="preserve"> Faculty School of agriculture in Hungary. </w:t>
      </w:r>
      <w:r w:rsidR="004A7A5C" w:rsidRPr="004A7A5C">
        <w:rPr>
          <w:rFonts w:ascii="Times New Roman" w:hAnsi="Times New Roman"/>
          <w:sz w:val="24"/>
        </w:rPr>
        <w:t>He has published more than 5 papers in reputed journals</w:t>
      </w:r>
      <w:r w:rsidR="000664E3">
        <w:rPr>
          <w:rFonts w:ascii="Times New Roman" w:hAnsi="Times New Roman"/>
          <w:sz w:val="24"/>
        </w:rPr>
        <w:t xml:space="preserve"> and has been serving as a crop researcher at </w:t>
      </w:r>
      <w:proofErr w:type="spellStart"/>
      <w:r w:rsidR="000664E3">
        <w:rPr>
          <w:rFonts w:ascii="Times New Roman" w:hAnsi="Times New Roman"/>
          <w:sz w:val="24"/>
        </w:rPr>
        <w:t>Tigray</w:t>
      </w:r>
      <w:proofErr w:type="spellEnd"/>
      <w:r w:rsidR="000664E3">
        <w:rPr>
          <w:rFonts w:ascii="Times New Roman" w:hAnsi="Times New Roman"/>
          <w:sz w:val="24"/>
        </w:rPr>
        <w:t xml:space="preserve"> Agricultural Research Institute, seed technologist at </w:t>
      </w:r>
      <w:proofErr w:type="spellStart"/>
      <w:r w:rsidR="000664E3">
        <w:rPr>
          <w:rFonts w:ascii="Times New Roman" w:hAnsi="Times New Roman"/>
          <w:sz w:val="24"/>
        </w:rPr>
        <w:t>Humera</w:t>
      </w:r>
      <w:proofErr w:type="spellEnd"/>
      <w:r w:rsidR="000664E3">
        <w:rPr>
          <w:rFonts w:ascii="Times New Roman" w:hAnsi="Times New Roman"/>
          <w:sz w:val="24"/>
        </w:rPr>
        <w:t xml:space="preserve"> Agricultural Research Center and head</w:t>
      </w:r>
      <w:r w:rsidR="004A7A5C" w:rsidRPr="004A7A5C">
        <w:rPr>
          <w:rFonts w:ascii="Times New Roman" w:hAnsi="Times New Roman"/>
          <w:sz w:val="24"/>
        </w:rPr>
        <w:t xml:space="preserve"> of quality assurance, research and development department </w:t>
      </w:r>
      <w:r w:rsidR="00795173">
        <w:rPr>
          <w:rFonts w:ascii="Times New Roman" w:hAnsi="Times New Roman"/>
          <w:sz w:val="24"/>
        </w:rPr>
        <w:t>at</w:t>
      </w:r>
      <w:r w:rsidR="004A7A5C" w:rsidRPr="004A7A5C">
        <w:rPr>
          <w:rFonts w:ascii="Times New Roman" w:hAnsi="Times New Roman"/>
          <w:sz w:val="24"/>
        </w:rPr>
        <w:t xml:space="preserve"> </w:t>
      </w:r>
      <w:proofErr w:type="spellStart"/>
      <w:r w:rsidR="004A7A5C" w:rsidRPr="004A7A5C">
        <w:rPr>
          <w:rFonts w:ascii="Times New Roman" w:hAnsi="Times New Roman"/>
          <w:sz w:val="24"/>
        </w:rPr>
        <w:t>Tigray</w:t>
      </w:r>
      <w:proofErr w:type="spellEnd"/>
      <w:r w:rsidR="004A7A5C" w:rsidRPr="004A7A5C">
        <w:rPr>
          <w:rFonts w:ascii="Times New Roman" w:hAnsi="Times New Roman"/>
          <w:sz w:val="24"/>
        </w:rPr>
        <w:t xml:space="preserve"> Biotechnology Center. </w:t>
      </w:r>
    </w:p>
    <w:p w:rsidR="00142E01" w:rsidRPr="00083AC5" w:rsidRDefault="00142E01" w:rsidP="004A7A5C">
      <w:pPr>
        <w:spacing w:line="360" w:lineRule="auto"/>
        <w:jc w:val="both"/>
        <w:rPr>
          <w:rFonts w:ascii="Times New Roman" w:hAnsi="Times New Roman"/>
          <w:b/>
          <w:sz w:val="24"/>
        </w:rPr>
      </w:pPr>
      <w:r w:rsidRPr="00083AC5">
        <w:rPr>
          <w:rFonts w:ascii="Times New Roman" w:hAnsi="Times New Roman"/>
          <w:b/>
          <w:sz w:val="24"/>
        </w:rPr>
        <w:t>Presenting author details</w:t>
      </w:r>
    </w:p>
    <w:p w:rsidR="00142E01" w:rsidRDefault="00142E01" w:rsidP="004A7A5C">
      <w:pPr>
        <w:spacing w:line="360" w:lineRule="auto"/>
        <w:jc w:val="both"/>
        <w:rPr>
          <w:rFonts w:ascii="Times New Roman" w:hAnsi="Times New Roman"/>
          <w:sz w:val="24"/>
        </w:rPr>
      </w:pPr>
      <w:r>
        <w:rPr>
          <w:rFonts w:ascii="Times New Roman" w:hAnsi="Times New Roman"/>
          <w:sz w:val="24"/>
        </w:rPr>
        <w:t xml:space="preserve">Full Name: </w:t>
      </w:r>
      <w:r w:rsidRPr="00142E01">
        <w:rPr>
          <w:rFonts w:ascii="Times New Roman" w:hAnsi="Times New Roman"/>
          <w:b/>
          <w:sz w:val="24"/>
        </w:rPr>
        <w:t xml:space="preserve">Mr. </w:t>
      </w:r>
      <w:proofErr w:type="spellStart"/>
      <w:r w:rsidRPr="00142E01">
        <w:rPr>
          <w:rFonts w:ascii="Times New Roman" w:hAnsi="Times New Roman"/>
          <w:b/>
          <w:sz w:val="24"/>
        </w:rPr>
        <w:t>Molla</w:t>
      </w:r>
      <w:proofErr w:type="spellEnd"/>
      <w:r w:rsidRPr="00142E01">
        <w:rPr>
          <w:rFonts w:ascii="Times New Roman" w:hAnsi="Times New Roman"/>
          <w:b/>
          <w:sz w:val="24"/>
        </w:rPr>
        <w:t xml:space="preserve"> </w:t>
      </w:r>
      <w:proofErr w:type="spellStart"/>
      <w:r w:rsidRPr="00142E01">
        <w:rPr>
          <w:rFonts w:ascii="Times New Roman" w:hAnsi="Times New Roman"/>
          <w:b/>
          <w:sz w:val="24"/>
        </w:rPr>
        <w:t>Gereme</w:t>
      </w:r>
      <w:proofErr w:type="spellEnd"/>
      <w:r w:rsidRPr="00142E01">
        <w:rPr>
          <w:rFonts w:ascii="Times New Roman" w:hAnsi="Times New Roman"/>
          <w:b/>
          <w:sz w:val="24"/>
        </w:rPr>
        <w:t xml:space="preserve"> </w:t>
      </w:r>
      <w:proofErr w:type="spellStart"/>
      <w:r w:rsidRPr="00142E01">
        <w:rPr>
          <w:rFonts w:ascii="Times New Roman" w:hAnsi="Times New Roman"/>
          <w:b/>
          <w:sz w:val="24"/>
        </w:rPr>
        <w:t>Taye</w:t>
      </w:r>
      <w:proofErr w:type="spellEnd"/>
      <w:r>
        <w:rPr>
          <w:rFonts w:ascii="Times New Roman" w:hAnsi="Times New Roman"/>
          <w:sz w:val="24"/>
        </w:rPr>
        <w:t xml:space="preserve"> </w:t>
      </w:r>
    </w:p>
    <w:p w:rsidR="00142E01" w:rsidRDefault="00142E01" w:rsidP="004A7A5C">
      <w:pPr>
        <w:spacing w:line="360" w:lineRule="auto"/>
        <w:jc w:val="both"/>
        <w:rPr>
          <w:rFonts w:ascii="Times New Roman" w:hAnsi="Times New Roman"/>
          <w:b/>
          <w:sz w:val="24"/>
        </w:rPr>
      </w:pPr>
      <w:r>
        <w:rPr>
          <w:rFonts w:ascii="Times New Roman" w:hAnsi="Times New Roman"/>
          <w:sz w:val="24"/>
        </w:rPr>
        <w:t xml:space="preserve">Contact Number: </w:t>
      </w:r>
      <w:r w:rsidRPr="00142E01">
        <w:rPr>
          <w:rFonts w:ascii="Times New Roman" w:hAnsi="Times New Roman"/>
          <w:b/>
          <w:sz w:val="24"/>
        </w:rPr>
        <w:t>+251960132552</w:t>
      </w:r>
    </w:p>
    <w:p w:rsidR="00142E01" w:rsidRPr="00807A5A" w:rsidRDefault="00142E01" w:rsidP="004A7A5C">
      <w:pPr>
        <w:spacing w:line="360" w:lineRule="auto"/>
        <w:jc w:val="both"/>
        <w:rPr>
          <w:rFonts w:ascii="Times New Roman" w:hAnsi="Times New Roman"/>
          <w:sz w:val="24"/>
        </w:rPr>
      </w:pPr>
      <w:r w:rsidRPr="00807A5A">
        <w:rPr>
          <w:rFonts w:ascii="Times New Roman" w:hAnsi="Times New Roman"/>
          <w:sz w:val="24"/>
        </w:rPr>
        <w:t>Tw</w:t>
      </w:r>
      <w:r w:rsidR="00083AC5">
        <w:rPr>
          <w:rFonts w:ascii="Times New Roman" w:hAnsi="Times New Roman"/>
          <w:sz w:val="24"/>
        </w:rPr>
        <w:t xml:space="preserve">itter/ </w:t>
      </w:r>
      <w:r w:rsidR="00083AC5" w:rsidRPr="00083AC5">
        <w:rPr>
          <w:rFonts w:ascii="Times New Roman" w:hAnsi="Times New Roman"/>
          <w:b/>
          <w:sz w:val="24"/>
        </w:rPr>
        <w:t>Skype</w:t>
      </w:r>
      <w:r w:rsidR="00083AC5">
        <w:rPr>
          <w:rFonts w:ascii="Times New Roman" w:hAnsi="Times New Roman"/>
          <w:sz w:val="24"/>
        </w:rPr>
        <w:t xml:space="preserve">: </w:t>
      </w:r>
      <w:proofErr w:type="spellStart"/>
      <w:r w:rsidR="00083AC5" w:rsidRPr="00083AC5">
        <w:rPr>
          <w:rFonts w:ascii="Times New Roman" w:hAnsi="Times New Roman"/>
          <w:b/>
          <w:sz w:val="24"/>
        </w:rPr>
        <w:t>taye.molla.gereme</w:t>
      </w:r>
      <w:proofErr w:type="spellEnd"/>
    </w:p>
    <w:p w:rsidR="00807A5A" w:rsidRPr="00807A5A" w:rsidRDefault="00807A5A" w:rsidP="004A7A5C">
      <w:pPr>
        <w:spacing w:line="360" w:lineRule="auto"/>
        <w:jc w:val="both"/>
        <w:rPr>
          <w:rFonts w:ascii="Times New Roman" w:hAnsi="Times New Roman"/>
          <w:sz w:val="24"/>
        </w:rPr>
      </w:pPr>
      <w:r w:rsidRPr="00807A5A">
        <w:rPr>
          <w:rFonts w:ascii="Times New Roman" w:hAnsi="Times New Roman"/>
          <w:sz w:val="24"/>
        </w:rPr>
        <w:t xml:space="preserve">Linked in account: </w:t>
      </w:r>
    </w:p>
    <w:p w:rsidR="00807A5A" w:rsidRPr="00807A5A" w:rsidRDefault="00807A5A" w:rsidP="004A7A5C">
      <w:pPr>
        <w:spacing w:line="360" w:lineRule="auto"/>
        <w:jc w:val="both"/>
        <w:rPr>
          <w:rFonts w:ascii="Times New Roman" w:hAnsi="Times New Roman"/>
          <w:sz w:val="24"/>
        </w:rPr>
      </w:pPr>
      <w:r w:rsidRPr="00807A5A">
        <w:rPr>
          <w:rFonts w:ascii="Times New Roman" w:hAnsi="Times New Roman"/>
          <w:sz w:val="24"/>
        </w:rPr>
        <w:t xml:space="preserve">Session Name/number: </w:t>
      </w:r>
      <w:r w:rsidR="00083AC5" w:rsidRPr="00083AC5">
        <w:rPr>
          <w:rFonts w:ascii="Times New Roman" w:hAnsi="Times New Roman"/>
          <w:b/>
          <w:sz w:val="24"/>
        </w:rPr>
        <w:t>Plant Pathology and Plant Biotechnology 2018</w:t>
      </w:r>
    </w:p>
    <w:p w:rsidR="00807A5A" w:rsidRPr="00807A5A" w:rsidRDefault="00807A5A" w:rsidP="004A7A5C">
      <w:pPr>
        <w:spacing w:line="360" w:lineRule="auto"/>
        <w:jc w:val="both"/>
        <w:rPr>
          <w:rFonts w:ascii="Times New Roman" w:hAnsi="Times New Roman"/>
          <w:sz w:val="24"/>
        </w:rPr>
      </w:pPr>
      <w:r w:rsidRPr="00807A5A">
        <w:rPr>
          <w:rFonts w:ascii="Times New Roman" w:hAnsi="Times New Roman"/>
          <w:sz w:val="24"/>
        </w:rPr>
        <w:t xml:space="preserve">Category (Oral presentation/poster presentation): </w:t>
      </w:r>
      <w:r w:rsidRPr="00807A5A">
        <w:rPr>
          <w:rFonts w:ascii="Times New Roman" w:hAnsi="Times New Roman"/>
          <w:b/>
          <w:sz w:val="24"/>
        </w:rPr>
        <w:t>Oral presentation</w:t>
      </w:r>
      <w:r>
        <w:rPr>
          <w:rFonts w:ascii="Times New Roman" w:hAnsi="Times New Roman"/>
          <w:sz w:val="24"/>
        </w:rPr>
        <w:t xml:space="preserve"> </w:t>
      </w:r>
    </w:p>
    <w:sectPr w:rsidR="00807A5A" w:rsidRPr="00807A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E15"/>
    <w:rsid w:val="000664E3"/>
    <w:rsid w:val="00083AC5"/>
    <w:rsid w:val="00103CEB"/>
    <w:rsid w:val="00142E01"/>
    <w:rsid w:val="002766B6"/>
    <w:rsid w:val="0027738C"/>
    <w:rsid w:val="00366B71"/>
    <w:rsid w:val="004A7A5C"/>
    <w:rsid w:val="004F5E15"/>
    <w:rsid w:val="00795173"/>
    <w:rsid w:val="00807A5A"/>
    <w:rsid w:val="00BA0182"/>
    <w:rsid w:val="00C87E02"/>
    <w:rsid w:val="00DD0CB8"/>
    <w:rsid w:val="00DF6140"/>
    <w:rsid w:val="00EE7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1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5E15"/>
    <w:rPr>
      <w:color w:val="0000FF" w:themeColor="hyperlink"/>
      <w:u w:val="single"/>
    </w:rPr>
  </w:style>
  <w:style w:type="paragraph" w:styleId="BalloonText">
    <w:name w:val="Balloon Text"/>
    <w:basedOn w:val="Normal"/>
    <w:link w:val="BalloonTextChar"/>
    <w:uiPriority w:val="99"/>
    <w:semiHidden/>
    <w:unhideWhenUsed/>
    <w:rsid w:val="00276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6B6"/>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E1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F5E15"/>
    <w:rPr>
      <w:color w:val="0000FF" w:themeColor="hyperlink"/>
      <w:u w:val="single"/>
    </w:rPr>
  </w:style>
  <w:style w:type="paragraph" w:styleId="BalloonText">
    <w:name w:val="Balloon Text"/>
    <w:basedOn w:val="Normal"/>
    <w:link w:val="BalloonTextChar"/>
    <w:uiPriority w:val="99"/>
    <w:semiHidden/>
    <w:unhideWhenUsed/>
    <w:rsid w:val="00276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66B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31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13</cp:revision>
  <dcterms:created xsi:type="dcterms:W3CDTF">2018-05-13T03:41:00Z</dcterms:created>
  <dcterms:modified xsi:type="dcterms:W3CDTF">2018-05-13T04:23:00Z</dcterms:modified>
</cp:coreProperties>
</file>