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pBdr/>
        <w:bidi w:val="0"/>
        <w:spacing w:lineRule="atLeast" w:line="270"/>
        <w:ind w:left="0" w:right="0" w:hanging="0"/>
        <w:jc w:val="center"/>
        <w:rPr>
          <w:rFonts w:ascii="Times New Roman;Times New Roman EmbeddedFont;Times New Roman MSFontService;serif" w:hAnsi="Times New Roman;Times New Roman EmbeddedFont;Times New Roman MSFontService;serif"/>
          <w:b/>
          <w:i w:val="false"/>
          <w:caps w:val="false"/>
          <w:smallCaps w:val="false"/>
          <w:sz w:val="24"/>
          <w:lang w:val="en-US"/>
        </w:rPr>
      </w:pPr>
      <w:r>
        <w:rPr>
          <w:rFonts w:ascii="Times New Roman;Times New Roman EmbeddedFont;Times New Roman MSFontService;serif" w:hAnsi="Times New Roman;Times New Roman EmbeddedFont;Times New Roman MSFontService;serif"/>
          <w:b/>
          <w:i w:val="false"/>
          <w:caps w:val="false"/>
          <w:smallCaps w:val="false"/>
          <w:sz w:val="24"/>
          <w:lang w:val="en-US"/>
        </w:rPr>
        <w:t>Genomics, transcriptomics and micro RNA target side prediction of CRKs and their role under cotton leaf curl disease provide deep insight in cotton plant</w:t>
      </w:r>
    </w:p>
    <w:p>
      <w:pPr>
        <w:pStyle w:val="TextBody"/>
        <w:pBdr/>
        <w:bidi w:val="0"/>
        <w:spacing w:lineRule="atLeast" w:line="27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Athar Hussain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1,2</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Naila Asif</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Abdul Rafay Pirzada</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Azka Noreen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2</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Javeria Shaukat</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Akif Burhan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Madiha Zaynab</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3</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Ejaz Ali</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4</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Koukab Imran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Ayesha Amin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5</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Muhammed Arsalan</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2</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Aquib Nazar</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M. Shahid Mukhtar</w:t>
      </w:r>
      <w:r>
        <w:rPr>
          <w:rFonts w:ascii="Times New Roman;Times New Roman EmbeddedFont;Times New Roman MSFontService;serif" w:hAnsi="Times New Roman;Times New Roman EmbeddedFont;Times New Roman MSFontService;serif"/>
          <w:b w:val="false"/>
          <w:i w:val="false"/>
          <w:caps w:val="false"/>
          <w:smallCaps w:val="false"/>
          <w:sz w:val="19"/>
          <w:lang w:val="en-US"/>
        </w:rPr>
        <w:t>6</w:t>
      </w:r>
    </w:p>
    <w:p>
      <w:pPr>
        <w:pStyle w:val="TextBody"/>
        <w:pBdr/>
        <w:bidi w:val="0"/>
        <w:spacing w:lineRule="atLeast" w:line="24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1</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Genomics Lab, Department of Life Sciences, School of Science, University of Management and Technology (UMT), Lahore, 54000, Pakistan</w:t>
      </w:r>
    </w:p>
    <w:p>
      <w:pPr>
        <w:pStyle w:val="TextBody"/>
        <w:pBdr/>
        <w:bidi w:val="0"/>
        <w:spacing w:lineRule="atLeast" w:line="24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2</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National Institute of Biotechnology and Genetic Engineering (NIBGE) constituent College of Pakistan Institute of Engineering and Applied Sciences (PIEAS), Faisalabad, 38000, Pakistan</w:t>
      </w:r>
      <w:r>
        <w:rPr>
          <w:b w:val="false"/>
          <w:i w:val="false"/>
          <w:caps w:val="false"/>
          <w:smallCaps w:val="false"/>
        </w:rPr>
        <w:t> </w:t>
      </w:r>
    </w:p>
    <w:p>
      <w:pPr>
        <w:pStyle w:val="TextBody"/>
        <w:pBdr/>
        <w:bidi w:val="0"/>
        <w:spacing w:lineRule="atLeast" w:line="240"/>
        <w:ind w:left="0" w:right="0" w:hanging="0"/>
        <w:jc w:val="left"/>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3</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Shenzhen Key Laboratory of Marine Bioresource &amp; Eco-Environmental Sciences, College of Life Sciences and Oceanography, Shenzhen University, Shenzhen 51807, China</w:t>
      </w:r>
      <w:r>
        <w:rPr>
          <w:b w:val="false"/>
          <w:i w:val="false"/>
          <w:caps w:val="false"/>
          <w:smallCaps w:val="false"/>
        </w:rPr>
        <w:t> </w:t>
      </w:r>
    </w:p>
    <w:p>
      <w:pPr>
        <w:pStyle w:val="TextBody"/>
        <w:pBdr/>
        <w:bidi w:val="0"/>
        <w:spacing w:lineRule="atLeast" w:line="24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4</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Center of Excellence in Molecular Biology, University of Punjab, 54000, Lahore, Pakistan</w:t>
      </w:r>
    </w:p>
    <w:p>
      <w:pPr>
        <w:pStyle w:val="TextBody"/>
        <w:pBdr/>
        <w:bidi w:val="0"/>
        <w:spacing w:lineRule="atLeast" w:line="24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5</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Office of Research Innovation and Commercialization, University of Management and Technology (UMT), Lahore, 54000, Pakistan</w:t>
      </w:r>
    </w:p>
    <w:p>
      <w:pPr>
        <w:pStyle w:val="TextBody"/>
        <w:pBdr/>
        <w:bidi w:val="0"/>
        <w:spacing w:lineRule="atLeast" w:line="24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sz w:val="16"/>
          <w:lang w:val="en-US"/>
        </w:rPr>
        <w:t>6</w:t>
      </w:r>
      <w:r>
        <w:rPr>
          <w:rFonts w:ascii="Times New Roman;Times New Roman EmbeddedFont;Times New Roman MSFontService;serif" w:hAnsi="Times New Roman;Times New Roman EmbeddedFont;Times New Roman MSFontService;serif"/>
          <w:b w:val="false"/>
          <w:i w:val="false"/>
          <w:caps w:val="false"/>
          <w:smallCaps w:val="false"/>
          <w:sz w:val="20"/>
          <w:lang w:val="en-US"/>
        </w:rPr>
        <w:t>Department of Biology, University of Alabama at Birmingham, 1300 University Blvd., Birmingham, AL, 35294, USA</w:t>
      </w:r>
      <w:r>
        <w:rPr>
          <w:b w:val="false"/>
          <w:i w:val="false"/>
          <w:caps w:val="false"/>
          <w:smallCaps w:val="false"/>
        </w:rPr>
        <w:t> </w:t>
      </w:r>
    </w:p>
    <w:p>
      <w:pPr>
        <w:pStyle w:val="TextBody"/>
        <w:pBdr/>
        <w:bidi w:val="0"/>
        <w:spacing w:lineRule="atLeast" w:line="270"/>
        <w:ind w:left="0" w:right="0" w:hanging="0"/>
        <w:jc w:val="left"/>
        <w:rPr/>
      </w:pPr>
      <w:r>
        <w:rPr>
          <w:rFonts w:ascii="Times New Roman;Times New Roman EmbeddedFont;Times New Roman MSFontService;serif" w:hAnsi="Times New Roman;Times New Roman EmbeddedFont;Times New Roman MSFontService;serif"/>
          <w:b/>
          <w:i w:val="false"/>
          <w:caps w:val="false"/>
          <w:smallCaps w:val="false"/>
          <w:sz w:val="24"/>
          <w:lang w:val="en-US"/>
        </w:rPr>
        <w:t xml:space="preserve">*Corresponding author: </w:t>
      </w:r>
      <w:hyperlink r:id="rId2" w:tgtFrame="_blank">
        <w:r>
          <w:rPr>
            <w:rStyle w:val="InternetLink"/>
            <w:rFonts w:ascii="Times New Roman;Times New Roman EmbeddedFont;Times New Roman MSFontService;serif" w:hAnsi="Times New Roman;Times New Roman EmbeddedFont;Times New Roman MSFontService;serif"/>
            <w:b/>
            <w:i w:val="false"/>
            <w:caps w:val="false"/>
            <w:smallCaps w:val="false"/>
            <w:strike w:val="false"/>
            <w:dstrike w:val="false"/>
            <w:color w:val="0000FF"/>
            <w:sz w:val="24"/>
            <w:u w:val="single"/>
            <w:effect w:val="none"/>
            <w:lang w:val="en-US"/>
          </w:rPr>
          <w:t>Atharmutahari@gmail.com</w:t>
        </w:r>
      </w:hyperlink>
      <w:r>
        <w:rPr>
          <w:b w:val="false"/>
          <w:i w:val="false"/>
          <w:caps w:val="false"/>
          <w:smallCaps w:val="false"/>
        </w:rPr>
        <w:t> </w:t>
      </w:r>
    </w:p>
    <w:p>
      <w:pPr>
        <w:pStyle w:val="TextBody"/>
        <w:pBdr/>
        <w:bidi w:val="0"/>
        <w:spacing w:lineRule="atLeast" w:line="270"/>
        <w:ind w:left="0" w:right="0" w:hanging="0"/>
        <w:jc w:val="both"/>
        <w:rPr>
          <w:rFonts w:ascii="Times New Roman;Times New Roman EmbeddedFont;Times New Roman MSFontService;serif" w:hAnsi="Times New Roman;Times New Roman EmbeddedFont;Times New Roman MSFontService;serif"/>
          <w:b/>
          <w:i w:val="false"/>
          <w:caps w:val="false"/>
          <w:smallCaps w:val="false"/>
          <w:sz w:val="24"/>
          <w:lang w:val="en-US"/>
        </w:rPr>
      </w:pPr>
      <w:r>
        <w:rPr>
          <w:rFonts w:ascii="Times New Roman;Times New Roman EmbeddedFont;Times New Roman MSFontService;serif" w:hAnsi="Times New Roman;Times New Roman EmbeddedFont;Times New Roman MSFontService;serif"/>
          <w:b/>
          <w:i w:val="false"/>
          <w:caps w:val="false"/>
          <w:smallCaps w:val="false"/>
          <w:sz w:val="24"/>
          <w:lang w:val="en-US"/>
        </w:rPr>
        <w:t>Abstract</w:t>
      </w:r>
    </w:p>
    <w:p>
      <w:pPr>
        <w:pStyle w:val="TextBody"/>
        <w:pBdr/>
        <w:bidi w:val="0"/>
        <w:spacing w:lineRule="atLeast" w:line="270"/>
        <w:ind w:left="0" w:right="0" w:hanging="0"/>
        <w:jc w:val="both"/>
        <w:rPr>
          <w:caps w:val="false"/>
          <w:smallCaps w:val="false"/>
        </w:rPr>
      </w:pP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 xml:space="preserve">Cysteine-rich receptor-like-kinases (CRKs) are a transmembrane subfamily of receptor-like kinase, play important roles in plant adaptation. Cotton is the major source of fiber for textile industry. But environmental stresses are limiting its growth and production. Here, we have performed deep computational analysis of CRKs in five Gossypium species, including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 xml:space="preserve">G. arboreum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(60 genes)</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 G. raimondii</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(74 genes)</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 xml:space="preserve">, G. herbaceum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(65 genes)</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 xml:space="preserve">, G. hirsutum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(118 genes) and</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G. barbadense</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 xml:space="preserve">(120 genes). All identified CRKs were classified into 11 major classes and 43 subclasses with finding of several novel CRK-associated domains including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 xml:space="preserve">ALMT, FUSC_2, Cript, FYVE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and</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Pkinase</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 xml:space="preserve">. Of these,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DUF26_DUF26_Pkinase_Tyr</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 xml:space="preserve">was common and had high expression under different biotic and abiotic stresses. The 35 land plants comparison identified several new CRKs domain-architectures. Many SNPs and InDels observed in CLCuD resistant </w:t>
      </w:r>
      <w:r>
        <w:rPr>
          <w:rFonts w:ascii="Times New Roman;Times New Roman EmbeddedFont;Times New Roman MSFontService;serif" w:hAnsi="Times New Roman;Times New Roman EmbeddedFont;Times New Roman MSFontService;serif"/>
          <w:b w:val="false"/>
          <w:i/>
          <w:caps w:val="false"/>
          <w:smallCaps w:val="false"/>
          <w:color w:val="000000"/>
          <w:sz w:val="24"/>
          <w:lang w:val="en-US"/>
        </w:rPr>
        <w:t>G. hirsutum</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 xml:space="preserve">. The miRNA target side prediction and their expression profiling in different tissues predicted miR172 as major CRK regulating miR. The expression profiling of CRKs identified multiple clusters with co-expression under certain stresses. The expression analysis under CLCuD highlighted role of </w:t>
      </w:r>
      <w:r>
        <w:rPr>
          <w:rFonts w:ascii="Times New Roman;Times New Roman EmbeddedFont;Times New Roman MSFontService;serif" w:hAnsi="Times New Roman;Times New Roman EmbeddedFont;Times New Roman MSFontService;serif"/>
          <w:b w:val="false"/>
          <w:i/>
          <w:caps w:val="false"/>
          <w:smallCaps w:val="false"/>
          <w:sz w:val="24"/>
          <w:lang w:val="en-US"/>
        </w:rPr>
        <w:t>GhCRK057, GhCRK059, GhCRK058 and GhCRK081</w:t>
      </w:r>
      <w:r>
        <w:rPr>
          <w:b w:val="false"/>
          <w:i w:val="false"/>
          <w:caps w:val="false"/>
          <w:smallCaps w:val="false"/>
          <w:color w:val="000000"/>
        </w:rPr>
        <w:t xml:space="preserve">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in resistant accession. The results provided primary data for functional analysis as well as a reference study for other important crops</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w:t>
      </w:r>
      <w:r>
        <w:rPr>
          <w:b w:val="false"/>
          <w:i w:val="false"/>
          <w:caps w:val="false"/>
          <w:smallCaps w:val="false"/>
        </w:rPr>
        <w:t> </w:t>
      </w:r>
    </w:p>
    <w:p>
      <w:pPr>
        <w:pStyle w:val="TextBody"/>
        <w:pBdr/>
        <w:bidi w:val="0"/>
        <w:spacing w:lineRule="atLeast" w:line="270"/>
        <w:ind w:left="0" w:right="0" w:hanging="0"/>
        <w:jc w:val="both"/>
        <w:rPr>
          <w:caps w:val="false"/>
          <w:smallCaps w:val="false"/>
        </w:rPr>
      </w:pPr>
      <w:r>
        <w:rPr>
          <w:caps w:val="false"/>
          <w:smallCaps w:val="false"/>
        </w:rPr>
        <w:t> </w:t>
      </w:r>
    </w:p>
    <w:p>
      <w:pPr>
        <w:pStyle w:val="TextBody"/>
        <w:pBdr/>
        <w:bidi w:val="0"/>
        <w:spacing w:lineRule="atLeast" w:line="270"/>
        <w:ind w:left="0" w:right="0" w:hanging="0"/>
        <w:jc w:val="both"/>
        <w:rPr>
          <w:b w:val="false"/>
          <w:i w:val="false"/>
          <w:caps w:val="false"/>
          <w:smallCaps w:val="false"/>
        </w:rPr>
      </w:pPr>
      <w:r>
        <w:rPr>
          <w:rFonts w:ascii="Times New Roman;Times New Roman EmbeddedFont;Times New Roman MSFontService;serif" w:hAnsi="Times New Roman;Times New Roman EmbeddedFont;Times New Roman MSFontService;serif"/>
          <w:b/>
          <w:i w:val="false"/>
          <w:caps w:val="false"/>
          <w:smallCaps w:val="false"/>
          <w:sz w:val="24"/>
          <w:lang w:val="en-US"/>
        </w:rPr>
        <w:t>Keywords:</w:t>
      </w:r>
      <w:r>
        <w:rPr>
          <w:b w:val="false"/>
          <w:i w:val="false"/>
          <w:caps w:val="false"/>
          <w:smallCaps w:val="false"/>
        </w:rPr>
        <w:t xml:space="preserve"> </w:t>
      </w:r>
      <w:r>
        <w:rPr>
          <w:rFonts w:ascii="Times New Roman;Times New Roman EmbeddedFont;Times New Roman MSFontService;serif" w:hAnsi="Times New Roman;Times New Roman EmbeddedFont;Times New Roman MSFontService;serif"/>
          <w:b w:val="false"/>
          <w:i w:val="false"/>
          <w:caps w:val="false"/>
          <w:smallCaps w:val="false"/>
          <w:sz w:val="24"/>
          <w:lang w:val="en-US"/>
        </w:rPr>
        <w:t xml:space="preserve">Genome-wide, CRKs, </w:t>
      </w:r>
      <w:r>
        <w:rPr>
          <w:rFonts w:ascii="Times New Roman;Times New Roman EmbeddedFont;Times New Roman MSFontService;serif" w:hAnsi="Times New Roman;Times New Roman EmbeddedFont;Times New Roman MSFontService;serif"/>
          <w:b w:val="false"/>
          <w:i w:val="false"/>
          <w:caps w:val="false"/>
          <w:smallCaps w:val="false"/>
          <w:color w:val="000000"/>
          <w:sz w:val="24"/>
          <w:lang w:val="en-US"/>
        </w:rPr>
        <w:t>Cysteine-rich receptor like-kinases, expression profiling, miRNA, PPI, RT-qPCR, Docking, CLCuD</w:t>
      </w:r>
      <w:r>
        <w:rPr>
          <w:b w:val="false"/>
          <w:i w:val="false"/>
          <w:caps w:val="false"/>
          <w:smallCaps w:val="false"/>
          <w:color w:val="000000"/>
        </w:rPr>
        <w:t> </w:t>
      </w:r>
    </w:p>
    <w:p>
      <w:pPr>
        <w:pStyle w:val="Normal"/>
        <w:bidi w:val="0"/>
        <w:jc w:val="left"/>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altName w:val="Times New Roman EmbeddedFont"/>
    <w:charset w:val="01"/>
    <w:family w:val="auto"/>
    <w:pitch w:val="default"/>
  </w:font>
</w:fonts>
</file>

<file path=word/settings.xml><?xml version="1.0" encoding="utf-8"?>
<w:settings xmlns:w="http://schemas.openxmlformats.org/wordprocessingml/2006/main">
  <w:zoom w:percent="88"/>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en-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tharmutahari@gmail.com"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LibreOffice/6.4.7.2$Linux_X86_64 LibreOffice_project/40$Build-2</Application>
  <Pages>1</Pages>
  <Words>368</Words>
  <Characters>2378</Characters>
  <CharactersWithSpaces>2742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2021-11-06T11:05:23Z</dcterms:created>
  <dc:creator/>
  <dc:description/>
  <dc:language>en-US</dc:language>
  <cp:lastModifiedBy/>
  <dcterms:modified xsi:type="dcterms:W3CDTF">2021-11-06T11:09:23Z</dcterms:modified>
  <cp:revision>1</cp:revision>
  <dc:subject/>
  <dc:title/>
</cp:coreProperties>
</file>