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42683" w:rsidP="00494130">
      <w:pPr>
        <w:pStyle w:val="1"/>
        <w:spacing w:before="170"/>
        <w:ind w:left="0"/>
      </w:pPr>
      <w:r>
        <w:rPr>
          <w:color w:val="337AB7"/>
        </w:rPr>
        <w:t xml:space="preserve">Identification of Proline Content Alterative 13 (PCA13) as the </w:t>
      </w:r>
      <w:r w:rsidRPr="00D6044F">
        <w:rPr>
          <w:i/>
          <w:color w:val="337AB7"/>
        </w:rPr>
        <w:t>Arabidopsis</w:t>
      </w:r>
      <w:r>
        <w:rPr>
          <w:color w:val="337AB7"/>
        </w:rPr>
        <w:t xml:space="preserve"> </w:t>
      </w:r>
      <w:r w:rsidRPr="00D6044F">
        <w:rPr>
          <w:i/>
          <w:color w:val="337AB7"/>
        </w:rPr>
        <w:t>thaliana</w:t>
      </w:r>
      <w:r>
        <w:rPr>
          <w:color w:val="337AB7"/>
        </w:rPr>
        <w:t xml:space="preserve"> RING Zinc Finger 1 suppressor in </w:t>
      </w:r>
      <w:r w:rsidR="007D11DB">
        <w:rPr>
          <w:color w:val="337AB7"/>
        </w:rPr>
        <w:t>plant environmental stress response</w:t>
      </w:r>
    </w:p>
    <w:p w:rsidR="00AE3E37" w:rsidRPr="001D64EB" w:rsidRDefault="00D6044F" w:rsidP="001D64EB">
      <w:pPr>
        <w:pStyle w:val="a3"/>
        <w:spacing w:before="73" w:line="198" w:lineRule="exact"/>
        <w:ind w:left="100" w:right="5987"/>
        <w:rPr>
          <w:rFonts w:ascii="Arial"/>
        </w:rPr>
      </w:pPr>
      <w:proofErr w:type="spellStart"/>
      <w:r>
        <w:rPr>
          <w:rFonts w:ascii="Arial"/>
        </w:rPr>
        <w:t>Cheol</w:t>
      </w:r>
      <w:proofErr w:type="spellEnd"/>
      <w:r>
        <w:rPr>
          <w:rFonts w:ascii="Arial"/>
        </w:rPr>
        <w:t xml:space="preserve"> Soo Kim</w:t>
      </w:r>
      <w:r w:rsidR="005973B9">
        <w:rPr>
          <w:rFonts w:ascii="Arial"/>
        </w:rPr>
        <w:t xml:space="preserve">, </w:t>
      </w:r>
      <w:r>
        <w:rPr>
          <w:rFonts w:ascii="Arial"/>
        </w:rPr>
        <w:t>Professor</w:t>
      </w:r>
      <w:r w:rsidR="005973B9">
        <w:rPr>
          <w:rFonts w:ascii="Arial"/>
        </w:rPr>
        <w:t xml:space="preserve">, </w:t>
      </w:r>
      <w:r>
        <w:rPr>
          <w:rFonts w:ascii="Arial"/>
        </w:rPr>
        <w:t xml:space="preserve">Department of Plant Biotechnology, </w:t>
      </w:r>
      <w:proofErr w:type="spellStart"/>
      <w:r>
        <w:rPr>
          <w:rFonts w:ascii="Arial"/>
        </w:rPr>
        <w:t>Chonnam</w:t>
      </w:r>
      <w:proofErr w:type="spellEnd"/>
      <w:r>
        <w:rPr>
          <w:rFonts w:ascii="Arial"/>
        </w:rPr>
        <w:t xml:space="preserve"> National University</w:t>
      </w:r>
      <w:r w:rsidR="005973B9">
        <w:rPr>
          <w:rFonts w:ascii="Arial"/>
        </w:rPr>
        <w:t>,</w:t>
      </w:r>
      <w:r>
        <w:rPr>
          <w:rFonts w:ascii="Arial"/>
        </w:rPr>
        <w:t xml:space="preserve"> </w:t>
      </w:r>
      <w:proofErr w:type="spellStart"/>
      <w:r>
        <w:rPr>
          <w:rFonts w:ascii="Arial"/>
        </w:rPr>
        <w:t>Gwangju</w:t>
      </w:r>
      <w:proofErr w:type="spellEnd"/>
      <w:r>
        <w:rPr>
          <w:rFonts w:ascii="Arial"/>
        </w:rPr>
        <w:t xml:space="preserve"> 61186, Republic of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953CF5" w:rsidRDefault="00953CF5" w:rsidP="00953CF5">
      <w:pPr>
        <w:pStyle w:val="3"/>
        <w:spacing w:before="74" w:line="360" w:lineRule="auto"/>
        <w:rPr>
          <w:rFonts w:ascii="Tw Cen MT" w:hAnsi="Tw Cen MT" w:cs="Times New Roman"/>
          <w:b w:val="0"/>
          <w:sz w:val="18"/>
          <w:szCs w:val="18"/>
        </w:rPr>
      </w:pPr>
      <w:r w:rsidRPr="00953CF5">
        <w:rPr>
          <w:rFonts w:ascii="Tw Cen MT" w:hAnsi="Tw Cen MT" w:cs="Times New Roman"/>
          <w:b w:val="0"/>
          <w:sz w:val="18"/>
          <w:szCs w:val="18"/>
        </w:rPr>
        <w:t>Proline (Pro) metabolism is important for environmental responses, plant development and growth. However, the mechanism of Pro in abiotic</w:t>
      </w:r>
      <w:r>
        <w:rPr>
          <w:rFonts w:ascii="Tw Cen MT" w:hAnsi="Tw Cen MT" w:cs="Times New Roman"/>
          <w:b w:val="0"/>
          <w:sz w:val="18"/>
          <w:szCs w:val="18"/>
        </w:rPr>
        <w:t xml:space="preserve"> and biotic</w:t>
      </w:r>
      <w:r w:rsidRPr="00953CF5">
        <w:rPr>
          <w:rFonts w:ascii="Tw Cen MT" w:hAnsi="Tw Cen MT" w:cs="Times New Roman"/>
          <w:b w:val="0"/>
          <w:sz w:val="18"/>
          <w:szCs w:val="18"/>
        </w:rPr>
        <w:t xml:space="preserve"> stress process</w:t>
      </w:r>
      <w:r>
        <w:rPr>
          <w:rFonts w:ascii="Tw Cen MT" w:hAnsi="Tw Cen MT" w:cs="Times New Roman"/>
          <w:b w:val="0"/>
          <w:sz w:val="18"/>
          <w:szCs w:val="18"/>
        </w:rPr>
        <w:t>es are</w:t>
      </w:r>
      <w:r w:rsidRPr="00953CF5">
        <w:rPr>
          <w:rFonts w:ascii="Tw Cen MT" w:hAnsi="Tw Cen MT" w:cs="Times New Roman"/>
          <w:b w:val="0"/>
          <w:sz w:val="18"/>
          <w:szCs w:val="18"/>
        </w:rPr>
        <w:t xml:space="preserve"> unclear. Using the </w:t>
      </w:r>
      <w:r w:rsidRPr="00953CF5">
        <w:rPr>
          <w:rFonts w:ascii="Tw Cen MT" w:hAnsi="Tw Cen MT" w:cs="Times New Roman"/>
          <w:b w:val="0"/>
          <w:i/>
          <w:sz w:val="18"/>
          <w:szCs w:val="18"/>
        </w:rPr>
        <w:t>atrzf1</w:t>
      </w:r>
      <w:r w:rsidRPr="00953CF5">
        <w:rPr>
          <w:rFonts w:ascii="Tw Cen MT" w:hAnsi="Tw Cen MT" w:cs="Times New Roman"/>
          <w:b w:val="0"/>
          <w:sz w:val="18"/>
          <w:szCs w:val="18"/>
        </w:rPr>
        <w:t xml:space="preserve"> (</w:t>
      </w:r>
      <w:r w:rsidRPr="00953CF5">
        <w:rPr>
          <w:rFonts w:ascii="Tw Cen MT" w:hAnsi="Tw Cen MT" w:cs="Times New Roman"/>
          <w:b w:val="0"/>
          <w:i/>
          <w:sz w:val="18"/>
          <w:szCs w:val="18"/>
        </w:rPr>
        <w:t>Arabidopsis thaliana ring zinc finger 1</w:t>
      </w:r>
      <w:r w:rsidRPr="00953CF5">
        <w:rPr>
          <w:rFonts w:ascii="Tw Cen MT" w:hAnsi="Tw Cen MT" w:cs="Times New Roman"/>
          <w:b w:val="0"/>
          <w:sz w:val="18"/>
          <w:szCs w:val="18"/>
        </w:rPr>
        <w:t>) mutant as a parental line fo</w:t>
      </w:r>
      <w:r w:rsidRPr="00B077F0">
        <w:rPr>
          <w:rFonts w:ascii="Tw Cen MT" w:hAnsi="Tw Cen MT" w:cs="Times New Roman"/>
          <w:b w:val="0"/>
          <w:sz w:val="18"/>
          <w:szCs w:val="18"/>
        </w:rPr>
        <w:t>r T-DNA ta</w:t>
      </w:r>
      <w:r w:rsidRPr="00953CF5">
        <w:rPr>
          <w:rFonts w:ascii="Tw Cen MT" w:hAnsi="Tw Cen MT" w:cs="Times New Roman"/>
          <w:b w:val="0"/>
          <w:sz w:val="18"/>
          <w:szCs w:val="18"/>
        </w:rPr>
        <w:t xml:space="preserve">gging mutagenesis, we identified a suppressor mutant, designated </w:t>
      </w:r>
      <w:r w:rsidRPr="00953CF5">
        <w:rPr>
          <w:rFonts w:ascii="Tw Cen MT" w:hAnsi="Tw Cen MT" w:cs="Times New Roman"/>
          <w:b w:val="0"/>
          <w:i/>
          <w:sz w:val="18"/>
          <w:szCs w:val="18"/>
        </w:rPr>
        <w:t>proline content alterative</w:t>
      </w:r>
      <w:r w:rsidRPr="00953CF5">
        <w:rPr>
          <w:rFonts w:ascii="Tw Cen MT" w:hAnsi="Tw Cen MT" w:cs="Times New Roman"/>
          <w:b w:val="0"/>
          <w:sz w:val="18"/>
          <w:szCs w:val="18"/>
        </w:rPr>
        <w:t xml:space="preserve"> </w:t>
      </w:r>
      <w:r w:rsidR="00B077F0">
        <w:rPr>
          <w:rFonts w:ascii="Tw Cen MT" w:hAnsi="Tw Cen MT" w:cs="Times New Roman"/>
          <w:b w:val="0"/>
          <w:i/>
          <w:sz w:val="18"/>
          <w:szCs w:val="18"/>
        </w:rPr>
        <w:t>13</w:t>
      </w:r>
      <w:r w:rsidRPr="00953CF5">
        <w:rPr>
          <w:rFonts w:ascii="Tw Cen MT" w:hAnsi="Tw Cen MT" w:cs="Times New Roman"/>
          <w:b w:val="0"/>
          <w:sz w:val="18"/>
          <w:szCs w:val="18"/>
        </w:rPr>
        <w:t xml:space="preserve"> (</w:t>
      </w:r>
      <w:r w:rsidR="00B077F0">
        <w:rPr>
          <w:rFonts w:ascii="Tw Cen MT" w:hAnsi="Tw Cen MT" w:cs="Times New Roman"/>
          <w:b w:val="0"/>
          <w:i/>
          <w:sz w:val="18"/>
          <w:szCs w:val="18"/>
        </w:rPr>
        <w:t>pca13</w:t>
      </w:r>
      <w:r w:rsidRPr="00953CF5">
        <w:rPr>
          <w:rFonts w:ascii="Tw Cen MT" w:hAnsi="Tw Cen MT" w:cs="Times New Roman"/>
          <w:b w:val="0"/>
          <w:sz w:val="18"/>
          <w:szCs w:val="18"/>
        </w:rPr>
        <w:t xml:space="preserve">) that suppressed the insensitivity of </w:t>
      </w:r>
      <w:r w:rsidRPr="00953CF5">
        <w:rPr>
          <w:rFonts w:ascii="Tw Cen MT" w:hAnsi="Tw Cen MT" w:cs="Times New Roman"/>
          <w:b w:val="0"/>
          <w:i/>
          <w:sz w:val="18"/>
          <w:szCs w:val="18"/>
        </w:rPr>
        <w:t>atrzf1</w:t>
      </w:r>
      <w:r w:rsidRPr="00953CF5">
        <w:rPr>
          <w:rFonts w:ascii="Tw Cen MT" w:hAnsi="Tw Cen MT" w:cs="Times New Roman"/>
          <w:b w:val="0"/>
          <w:sz w:val="18"/>
          <w:szCs w:val="18"/>
        </w:rPr>
        <w:t xml:space="preserve"> to abiotic stresses during early seedling growth. Pro content of </w:t>
      </w:r>
      <w:r w:rsidR="00B077F0">
        <w:rPr>
          <w:rFonts w:ascii="Tw Cen MT" w:hAnsi="Tw Cen MT" w:cs="Times New Roman"/>
          <w:b w:val="0"/>
          <w:i/>
          <w:sz w:val="18"/>
          <w:szCs w:val="18"/>
        </w:rPr>
        <w:t>pca13</w:t>
      </w:r>
      <w:r w:rsidRPr="00953CF5">
        <w:rPr>
          <w:rFonts w:ascii="Tw Cen MT" w:hAnsi="Tw Cen MT" w:cs="Times New Roman"/>
          <w:b w:val="0"/>
          <w:sz w:val="18"/>
          <w:szCs w:val="18"/>
        </w:rPr>
        <w:t xml:space="preserve"> was lower than in </w:t>
      </w:r>
      <w:r w:rsidRPr="00953CF5">
        <w:rPr>
          <w:rFonts w:ascii="Tw Cen MT" w:hAnsi="Tw Cen MT" w:cs="Times New Roman"/>
          <w:b w:val="0"/>
          <w:i/>
          <w:sz w:val="18"/>
          <w:szCs w:val="18"/>
        </w:rPr>
        <w:t>atrzf1</w:t>
      </w:r>
      <w:r w:rsidRPr="00953CF5">
        <w:rPr>
          <w:rFonts w:ascii="Tw Cen MT" w:hAnsi="Tw Cen MT" w:cs="Times New Roman"/>
          <w:b w:val="0"/>
          <w:sz w:val="18"/>
          <w:szCs w:val="18"/>
        </w:rPr>
        <w:t xml:space="preserve">, while the complementary lines were less sensitive to </w:t>
      </w:r>
      <w:r w:rsidRPr="00953CF5">
        <w:rPr>
          <w:rFonts w:ascii="Tw Cen MT" w:eastAsia="Arial Unicode MS" w:hAnsi="Tw Cen MT" w:cs="Times New Roman"/>
          <w:b w:val="0"/>
          <w:sz w:val="18"/>
          <w:szCs w:val="18"/>
        </w:rPr>
        <w:t>abscisic acid (</w:t>
      </w:r>
      <w:r w:rsidRPr="00953CF5">
        <w:rPr>
          <w:rFonts w:ascii="Tw Cen MT" w:hAnsi="Tw Cen MT" w:cs="Times New Roman"/>
          <w:b w:val="0"/>
          <w:sz w:val="18"/>
          <w:szCs w:val="18"/>
        </w:rPr>
        <w:t>ABA) and abiotic stresses co</w:t>
      </w:r>
      <w:r w:rsidR="000706D1">
        <w:rPr>
          <w:rFonts w:ascii="Tw Cen MT" w:hAnsi="Tw Cen MT" w:cs="Times New Roman"/>
          <w:b w:val="0"/>
          <w:sz w:val="18"/>
          <w:szCs w:val="18"/>
        </w:rPr>
        <w:t xml:space="preserve">mpared to WT. Through the TAIL-PCR </w:t>
      </w:r>
      <w:r w:rsidRPr="00953CF5">
        <w:rPr>
          <w:rFonts w:ascii="Tw Cen MT" w:hAnsi="Tw Cen MT" w:cs="Times New Roman"/>
          <w:b w:val="0"/>
          <w:sz w:val="18"/>
          <w:szCs w:val="18"/>
        </w:rPr>
        <w:t xml:space="preserve">of </w:t>
      </w:r>
      <w:r w:rsidR="004C77C0">
        <w:rPr>
          <w:rFonts w:ascii="Tw Cen MT" w:hAnsi="Tw Cen MT" w:cs="Times New Roman"/>
          <w:b w:val="0"/>
          <w:i/>
          <w:sz w:val="18"/>
          <w:szCs w:val="18"/>
        </w:rPr>
        <w:t>pca13</w:t>
      </w:r>
      <w:r w:rsidR="000706D1">
        <w:rPr>
          <w:rFonts w:ascii="Tw Cen MT" w:hAnsi="Tw Cen MT" w:cs="Times New Roman"/>
          <w:b w:val="0"/>
          <w:sz w:val="18"/>
          <w:szCs w:val="18"/>
        </w:rPr>
        <w:t>,</w:t>
      </w:r>
      <w:r w:rsidRPr="00953CF5">
        <w:rPr>
          <w:rFonts w:ascii="Tw Cen MT" w:hAnsi="Tw Cen MT" w:cs="Times New Roman"/>
          <w:b w:val="0"/>
          <w:i/>
          <w:sz w:val="18"/>
          <w:szCs w:val="18"/>
        </w:rPr>
        <w:t xml:space="preserve"> </w:t>
      </w:r>
      <w:r w:rsidRPr="00953CF5">
        <w:rPr>
          <w:rFonts w:ascii="Tw Cen MT" w:hAnsi="Tw Cen MT" w:cs="Times New Roman"/>
          <w:b w:val="0"/>
          <w:sz w:val="18"/>
          <w:szCs w:val="18"/>
        </w:rPr>
        <w:t>it was shown that T-DNA inserted at site</w:t>
      </w:r>
      <w:r w:rsidRPr="003E18D3">
        <w:rPr>
          <w:rFonts w:ascii="Tw Cen MT" w:hAnsi="Tw Cen MT" w:cs="Times New Roman"/>
          <w:b w:val="0"/>
          <w:sz w:val="18"/>
          <w:szCs w:val="18"/>
        </w:rPr>
        <w:t xml:space="preserve"> </w:t>
      </w:r>
      <w:r w:rsidR="003E18D3" w:rsidRPr="003E18D3">
        <w:rPr>
          <w:rFonts w:ascii="Tw Cen MT" w:hAnsi="Tw Cen MT" w:cs="Times New Roman"/>
          <w:b w:val="0"/>
          <w:sz w:val="18"/>
          <w:szCs w:val="18"/>
        </w:rPr>
        <w:t>chromosome 2</w:t>
      </w:r>
      <w:r w:rsidRPr="003E18D3">
        <w:rPr>
          <w:rFonts w:ascii="Tw Cen MT" w:hAnsi="Tw Cen MT" w:cs="Times New Roman"/>
          <w:b w:val="0"/>
          <w:sz w:val="18"/>
          <w:szCs w:val="18"/>
        </w:rPr>
        <w:t xml:space="preserve"> </w:t>
      </w:r>
      <w:r w:rsidRPr="00953CF5">
        <w:rPr>
          <w:rFonts w:ascii="Tw Cen MT" w:hAnsi="Tw Cen MT" w:cs="Times New Roman"/>
          <w:b w:val="0"/>
          <w:sz w:val="18"/>
          <w:szCs w:val="18"/>
        </w:rPr>
        <w:t xml:space="preserve">which encodes </w:t>
      </w:r>
      <w:r w:rsidR="003E18D3">
        <w:rPr>
          <w:rFonts w:ascii="Tw Cen MT" w:hAnsi="Tw Cen MT" w:cs="Times New Roman"/>
          <w:b w:val="0"/>
          <w:sz w:val="18"/>
          <w:szCs w:val="18"/>
        </w:rPr>
        <w:t>cell wall enzyme</w:t>
      </w:r>
      <w:r w:rsidRPr="00953CF5">
        <w:rPr>
          <w:rFonts w:ascii="Tw Cen MT" w:hAnsi="Tw Cen MT" w:cs="Times New Roman"/>
          <w:b w:val="0"/>
          <w:sz w:val="18"/>
          <w:szCs w:val="18"/>
        </w:rPr>
        <w:t xml:space="preserve">. Under condition of </w:t>
      </w:r>
      <w:r w:rsidR="00F40BB1">
        <w:rPr>
          <w:rFonts w:ascii="Tw Cen MT" w:hAnsi="Tw Cen MT" w:cs="Times New Roman"/>
          <w:b w:val="0"/>
          <w:sz w:val="18"/>
          <w:szCs w:val="18"/>
        </w:rPr>
        <w:t>biotic</w:t>
      </w:r>
      <w:r w:rsidRPr="00953CF5">
        <w:rPr>
          <w:rFonts w:ascii="Tw Cen MT" w:hAnsi="Tw Cen MT" w:cs="Times New Roman"/>
          <w:b w:val="0"/>
          <w:sz w:val="18"/>
          <w:szCs w:val="18"/>
        </w:rPr>
        <w:t xml:space="preserve"> stress, </w:t>
      </w:r>
      <w:r w:rsidR="00F40BB1">
        <w:rPr>
          <w:rFonts w:ascii="Tw Cen MT" w:hAnsi="Tw Cen MT" w:cs="Times New Roman"/>
          <w:b w:val="0"/>
          <w:sz w:val="18"/>
          <w:szCs w:val="18"/>
        </w:rPr>
        <w:t>pathogen resistance</w:t>
      </w:r>
      <w:r w:rsidRPr="00953CF5">
        <w:rPr>
          <w:rFonts w:ascii="Tw Cen MT" w:hAnsi="Tw Cen MT" w:cs="Times New Roman"/>
          <w:b w:val="0"/>
          <w:sz w:val="18"/>
          <w:szCs w:val="18"/>
        </w:rPr>
        <w:t xml:space="preserve"> were significantly </w:t>
      </w:r>
      <w:r w:rsidR="00F40BB1">
        <w:rPr>
          <w:rFonts w:ascii="Tw Cen MT" w:hAnsi="Tw Cen MT" w:cs="Times New Roman"/>
          <w:b w:val="0"/>
          <w:sz w:val="18"/>
          <w:szCs w:val="18"/>
        </w:rPr>
        <w:t>high</w:t>
      </w:r>
      <w:r w:rsidRPr="00953CF5">
        <w:rPr>
          <w:rFonts w:ascii="Tw Cen MT" w:hAnsi="Tw Cen MT" w:cs="Times New Roman"/>
          <w:b w:val="0"/>
          <w:sz w:val="18"/>
          <w:szCs w:val="18"/>
        </w:rPr>
        <w:t xml:space="preserve">er in </w:t>
      </w:r>
      <w:r w:rsidR="00F40BB1">
        <w:rPr>
          <w:rFonts w:ascii="Tw Cen MT" w:hAnsi="Tw Cen MT" w:cs="Times New Roman"/>
          <w:b w:val="0"/>
          <w:i/>
          <w:sz w:val="18"/>
          <w:szCs w:val="18"/>
        </w:rPr>
        <w:t>pca13</w:t>
      </w:r>
      <w:r w:rsidRPr="00953CF5">
        <w:rPr>
          <w:rFonts w:ascii="Tw Cen MT" w:hAnsi="Tw Cen MT" w:cs="Times New Roman"/>
          <w:b w:val="0"/>
          <w:sz w:val="18"/>
          <w:szCs w:val="18"/>
        </w:rPr>
        <w:t xml:space="preserve"> compared to WT and </w:t>
      </w:r>
      <w:r w:rsidRPr="00953CF5">
        <w:rPr>
          <w:rFonts w:ascii="Tw Cen MT" w:hAnsi="Tw Cen MT" w:cs="Times New Roman"/>
          <w:b w:val="0"/>
          <w:i/>
          <w:sz w:val="18"/>
          <w:szCs w:val="18"/>
        </w:rPr>
        <w:t>atrzf1</w:t>
      </w:r>
      <w:r w:rsidRPr="00953CF5">
        <w:rPr>
          <w:rFonts w:ascii="Tw Cen MT" w:hAnsi="Tw Cen MT" w:cs="Times New Roman"/>
          <w:b w:val="0"/>
          <w:sz w:val="18"/>
          <w:szCs w:val="18"/>
        </w:rPr>
        <w:t xml:space="preserve">. Moreover, </w:t>
      </w:r>
      <w:r w:rsidR="001E14CD">
        <w:rPr>
          <w:rFonts w:ascii="Tw Cen MT" w:hAnsi="Tw Cen MT" w:cs="Times New Roman"/>
          <w:b w:val="0"/>
          <w:i/>
          <w:sz w:val="18"/>
          <w:szCs w:val="18"/>
        </w:rPr>
        <w:t>pca13</w:t>
      </w:r>
      <w:r w:rsidRPr="00953CF5">
        <w:rPr>
          <w:rFonts w:ascii="Tw Cen MT" w:hAnsi="Tw Cen MT" w:cs="Times New Roman"/>
          <w:b w:val="0"/>
          <w:sz w:val="18"/>
          <w:szCs w:val="18"/>
        </w:rPr>
        <w:t xml:space="preserve"> mutant was significantly higher in several important drought parameters including </w:t>
      </w:r>
      <w:proofErr w:type="spellStart"/>
      <w:r w:rsidRPr="00953CF5">
        <w:rPr>
          <w:rFonts w:ascii="Tw Cen MT" w:hAnsi="Tw Cen MT" w:cs="Times New Roman"/>
          <w:b w:val="0"/>
          <w:sz w:val="18"/>
          <w:szCs w:val="18"/>
        </w:rPr>
        <w:t>malondialdehyde</w:t>
      </w:r>
      <w:proofErr w:type="spellEnd"/>
      <w:r w:rsidRPr="00953CF5">
        <w:rPr>
          <w:rFonts w:ascii="Tw Cen MT" w:hAnsi="Tw Cen MT" w:cs="Times New Roman"/>
          <w:b w:val="0"/>
          <w:sz w:val="18"/>
          <w:szCs w:val="18"/>
        </w:rPr>
        <w:t xml:space="preserve"> level, ion leakage and water los</w:t>
      </w:r>
      <w:r w:rsidRPr="004C77C0">
        <w:rPr>
          <w:rFonts w:ascii="Tw Cen MT" w:hAnsi="Tw Cen MT" w:cs="Times New Roman"/>
          <w:b w:val="0"/>
          <w:sz w:val="18"/>
          <w:szCs w:val="18"/>
        </w:rPr>
        <w:t>s. The fluorescence signal of the green fluorescent protein (GFP)-tagged PCA</w:t>
      </w:r>
      <w:r w:rsidR="004C77C0" w:rsidRPr="004C77C0">
        <w:rPr>
          <w:rFonts w:ascii="Tw Cen MT" w:hAnsi="Tw Cen MT" w:cs="Times New Roman"/>
          <w:b w:val="0"/>
          <w:sz w:val="18"/>
          <w:szCs w:val="18"/>
        </w:rPr>
        <w:t>13</w:t>
      </w:r>
      <w:r w:rsidRPr="004C77C0">
        <w:rPr>
          <w:rFonts w:ascii="Tw Cen MT" w:hAnsi="Tw Cen MT" w:cs="Times New Roman"/>
          <w:b w:val="0"/>
          <w:sz w:val="18"/>
          <w:szCs w:val="18"/>
        </w:rPr>
        <w:t xml:space="preserve"> was quite strong in the</w:t>
      </w:r>
      <w:r w:rsidR="004C77C0" w:rsidRPr="004C77C0">
        <w:rPr>
          <w:rFonts w:ascii="Tw Cen MT" w:hAnsi="Tw Cen MT" w:cs="Times New Roman"/>
          <w:b w:val="0"/>
          <w:sz w:val="18"/>
          <w:szCs w:val="18"/>
        </w:rPr>
        <w:t xml:space="preserve"> cell</w:t>
      </w:r>
      <w:r w:rsidRPr="004C77C0">
        <w:rPr>
          <w:rFonts w:ascii="Tw Cen MT" w:hAnsi="Tw Cen MT" w:cs="Times New Roman"/>
          <w:b w:val="0"/>
          <w:sz w:val="18"/>
          <w:szCs w:val="18"/>
        </w:rPr>
        <w:t xml:space="preserve"> </w:t>
      </w:r>
      <w:r w:rsidR="004C77C0" w:rsidRPr="004C77C0">
        <w:rPr>
          <w:rFonts w:ascii="Tw Cen MT" w:hAnsi="Tw Cen MT" w:cs="Times New Roman"/>
          <w:b w:val="0"/>
          <w:sz w:val="18"/>
          <w:szCs w:val="18"/>
        </w:rPr>
        <w:t xml:space="preserve">wall </w:t>
      </w:r>
      <w:r w:rsidRPr="004C77C0">
        <w:rPr>
          <w:rFonts w:ascii="Tw Cen MT" w:hAnsi="Tw Cen MT" w:cs="Times New Roman"/>
          <w:b w:val="0"/>
          <w:sz w:val="18"/>
          <w:szCs w:val="18"/>
        </w:rPr>
        <w:t xml:space="preserve">of </w:t>
      </w:r>
      <w:r w:rsidR="004C77C0" w:rsidRPr="004C77C0">
        <w:rPr>
          <w:rFonts w:ascii="Tw Cen MT" w:hAnsi="Tw Cen MT" w:cs="Times New Roman"/>
          <w:b w:val="0"/>
          <w:sz w:val="18"/>
          <w:szCs w:val="18"/>
        </w:rPr>
        <w:t xml:space="preserve">the root </w:t>
      </w:r>
      <w:r w:rsidRPr="004C77C0">
        <w:rPr>
          <w:rFonts w:ascii="Tw Cen MT" w:hAnsi="Tw Cen MT" w:cs="Times New Roman"/>
          <w:b w:val="0"/>
          <w:sz w:val="18"/>
          <w:szCs w:val="18"/>
        </w:rPr>
        <w:t xml:space="preserve">cells of the transgenic seedlings. </w:t>
      </w:r>
      <w:bookmarkStart w:id="0" w:name="OLE_LINK1"/>
      <w:bookmarkStart w:id="1" w:name="OLE_LINK2"/>
      <w:r w:rsidRPr="00953CF5">
        <w:rPr>
          <w:rFonts w:ascii="Tw Cen MT" w:hAnsi="Tw Cen MT" w:cs="Times New Roman"/>
          <w:b w:val="0"/>
          <w:sz w:val="18"/>
          <w:szCs w:val="18"/>
        </w:rPr>
        <w:t>Additionally</w:t>
      </w:r>
      <w:bookmarkEnd w:id="0"/>
      <w:bookmarkEnd w:id="1"/>
      <w:r w:rsidRPr="00953CF5">
        <w:rPr>
          <w:rFonts w:ascii="Tw Cen MT" w:hAnsi="Tw Cen MT" w:cs="Times New Roman"/>
          <w:b w:val="0"/>
          <w:sz w:val="18"/>
          <w:szCs w:val="18"/>
        </w:rPr>
        <w:t xml:space="preserve">, the </w:t>
      </w:r>
      <w:r w:rsidR="004C77C0">
        <w:rPr>
          <w:rFonts w:ascii="Tw Cen MT" w:hAnsi="Tw Cen MT" w:cs="Times New Roman"/>
          <w:b w:val="0"/>
          <w:i/>
          <w:sz w:val="18"/>
          <w:szCs w:val="18"/>
        </w:rPr>
        <w:t>PCA13</w:t>
      </w:r>
      <w:r w:rsidRPr="00953CF5">
        <w:rPr>
          <w:rFonts w:ascii="Tw Cen MT" w:hAnsi="Tw Cen MT" w:cs="Times New Roman"/>
          <w:b w:val="0"/>
          <w:sz w:val="18"/>
          <w:szCs w:val="18"/>
        </w:rPr>
        <w:t xml:space="preserve"> promoter-</w:t>
      </w:r>
      <w:r w:rsidRPr="00953CF5">
        <w:rPr>
          <w:rFonts w:ascii="Tw Cen MT" w:hAnsi="Tw Cen MT" w:cs="Times New Roman"/>
          <w:b w:val="0"/>
          <w:sz w:val="18"/>
          <w:szCs w:val="18"/>
        </w:rPr>
        <w:sym w:font="Symbol" w:char="F062"/>
      </w:r>
      <w:r w:rsidRPr="00953CF5">
        <w:rPr>
          <w:rFonts w:ascii="Tw Cen MT" w:hAnsi="Tw Cen MT" w:cs="Times New Roman"/>
          <w:b w:val="0"/>
          <w:sz w:val="18"/>
          <w:szCs w:val="18"/>
        </w:rPr>
        <w:t>-</w:t>
      </w:r>
      <w:proofErr w:type="spellStart"/>
      <w:r w:rsidRPr="00953CF5">
        <w:rPr>
          <w:rFonts w:ascii="Tw Cen MT" w:hAnsi="Tw Cen MT" w:cs="Times New Roman"/>
          <w:b w:val="0"/>
          <w:sz w:val="18"/>
          <w:szCs w:val="18"/>
        </w:rPr>
        <w:t>glucuronidase</w:t>
      </w:r>
      <w:proofErr w:type="spellEnd"/>
      <w:r w:rsidRPr="00953CF5">
        <w:rPr>
          <w:rFonts w:ascii="Tw Cen MT" w:hAnsi="Tw Cen MT" w:cs="Times New Roman"/>
          <w:b w:val="0"/>
          <w:sz w:val="18"/>
          <w:szCs w:val="18"/>
        </w:rPr>
        <w:t xml:space="preserve"> (GUS) construct revealed substantial gene expression in the </w:t>
      </w:r>
      <w:r w:rsidR="005175A9">
        <w:rPr>
          <w:rFonts w:ascii="Tw Cen MT" w:hAnsi="Tw Cen MT" w:cs="Times New Roman"/>
          <w:b w:val="0"/>
          <w:sz w:val="18"/>
          <w:szCs w:val="18"/>
        </w:rPr>
        <w:t>root</w:t>
      </w:r>
      <w:r w:rsidRPr="00953CF5">
        <w:rPr>
          <w:rFonts w:ascii="Tw Cen MT" w:hAnsi="Tw Cen MT" w:cs="Times New Roman"/>
          <w:b w:val="0"/>
          <w:sz w:val="18"/>
          <w:szCs w:val="18"/>
        </w:rPr>
        <w:t xml:space="preserve"> tissues and </w:t>
      </w:r>
      <w:r w:rsidR="005175A9">
        <w:rPr>
          <w:rFonts w:ascii="Tw Cen MT" w:hAnsi="Tw Cen MT" w:cs="Times New Roman"/>
          <w:b w:val="0"/>
          <w:sz w:val="18"/>
          <w:szCs w:val="18"/>
        </w:rPr>
        <w:t>apical meristem</w:t>
      </w:r>
      <w:r w:rsidRPr="00953CF5">
        <w:rPr>
          <w:rFonts w:ascii="Tw Cen MT" w:hAnsi="Tw Cen MT" w:cs="Times New Roman"/>
          <w:b w:val="0"/>
          <w:sz w:val="18"/>
          <w:szCs w:val="18"/>
        </w:rPr>
        <w:t xml:space="preserve">. Collectively, these findings prove that </w:t>
      </w:r>
      <w:r w:rsidR="004C77C0">
        <w:rPr>
          <w:rFonts w:ascii="Tw Cen MT" w:hAnsi="Tw Cen MT" w:cs="Times New Roman"/>
          <w:b w:val="0"/>
          <w:i/>
          <w:sz w:val="18"/>
          <w:szCs w:val="18"/>
        </w:rPr>
        <w:t>pca13</w:t>
      </w:r>
      <w:r w:rsidRPr="00953CF5">
        <w:rPr>
          <w:rFonts w:ascii="Tw Cen MT" w:hAnsi="Tw Cen MT" w:cs="Times New Roman"/>
          <w:b w:val="0"/>
          <w:sz w:val="18"/>
          <w:szCs w:val="18"/>
        </w:rPr>
        <w:t xml:space="preserve"> acts as a suppressor mutant of </w:t>
      </w:r>
      <w:r w:rsidRPr="00953CF5">
        <w:rPr>
          <w:rFonts w:ascii="Tw Cen MT" w:hAnsi="Tw Cen MT" w:cs="Times New Roman"/>
          <w:b w:val="0"/>
          <w:i/>
          <w:sz w:val="18"/>
          <w:szCs w:val="18"/>
        </w:rPr>
        <w:t>atrzf1</w:t>
      </w:r>
      <w:r w:rsidRPr="00953CF5">
        <w:rPr>
          <w:rFonts w:ascii="Tw Cen MT" w:hAnsi="Tw Cen MT" w:cs="Times New Roman"/>
          <w:b w:val="0"/>
          <w:sz w:val="18"/>
          <w:szCs w:val="18"/>
        </w:rPr>
        <w:t xml:space="preserve"> in the abiotic </w:t>
      </w:r>
      <w:r w:rsidR="004C77C0">
        <w:rPr>
          <w:rFonts w:ascii="Tw Cen MT" w:hAnsi="Tw Cen MT" w:cs="Times New Roman"/>
          <w:b w:val="0"/>
          <w:sz w:val="18"/>
          <w:szCs w:val="18"/>
        </w:rPr>
        <w:t xml:space="preserve">and biotic </w:t>
      </w:r>
      <w:r w:rsidRPr="00953CF5">
        <w:rPr>
          <w:rFonts w:ascii="Tw Cen MT" w:hAnsi="Tw Cen MT" w:cs="Times New Roman"/>
          <w:b w:val="0"/>
          <w:sz w:val="18"/>
          <w:szCs w:val="18"/>
        </w:rPr>
        <w:t>stress response</w:t>
      </w:r>
      <w:r w:rsidR="000706D1">
        <w:rPr>
          <w:rFonts w:ascii="Tw Cen MT" w:hAnsi="Tw Cen MT" w:cs="Times New Roman"/>
          <w:b w:val="0"/>
          <w:sz w:val="18"/>
          <w:szCs w:val="18"/>
        </w:rPr>
        <w:t>s</w:t>
      </w:r>
      <w:r w:rsidRPr="00953CF5">
        <w:rPr>
          <w:rFonts w:ascii="Tw Cen MT" w:hAnsi="Tw Cen MT" w:cs="Times New Roman"/>
          <w:b w:val="0"/>
          <w:sz w:val="18"/>
          <w:szCs w:val="18"/>
        </w:rPr>
        <w:t xml:space="preserve"> through the </w:t>
      </w:r>
      <w:r w:rsidR="004C77C0">
        <w:rPr>
          <w:rFonts w:ascii="Tw Cen MT" w:hAnsi="Tw Cen MT" w:cs="Times New Roman"/>
          <w:b w:val="0"/>
          <w:sz w:val="18"/>
          <w:szCs w:val="18"/>
        </w:rPr>
        <w:t>Pro metabolism</w:t>
      </w:r>
      <w:r w:rsidRPr="00953CF5">
        <w:rPr>
          <w:rFonts w:ascii="Tw Cen MT" w:hAnsi="Tw Cen MT" w:cs="Times New Roman"/>
          <w:b w:val="0"/>
          <w:sz w:val="18"/>
          <w:szCs w:val="18"/>
        </w:rPr>
        <w:t>.</w:t>
      </w:r>
    </w:p>
    <w:p w:rsidR="00953CF5" w:rsidRDefault="00953CF5" w:rsidP="00953CF5">
      <w:pPr>
        <w:pStyle w:val="3"/>
        <w:spacing w:before="74" w:line="360" w:lineRule="auto"/>
        <w:rPr>
          <w:rFonts w:ascii="Tw Cen MT" w:hAnsi="Tw Cen MT" w:cs="Times New Roman"/>
          <w:b w:val="0"/>
          <w:sz w:val="18"/>
          <w:szCs w:val="18"/>
        </w:rPr>
      </w:pPr>
    </w:p>
    <w:p w:rsidR="001D64EB" w:rsidRDefault="001D64EB" w:rsidP="00F40BB1">
      <w:pPr>
        <w:pStyle w:val="3"/>
        <w:spacing w:before="74" w:line="360" w:lineRule="auto"/>
        <w:ind w:left="0"/>
        <w:rPr>
          <w:rFonts w:ascii="Tw Cen MT" w:hAnsi="Tw Cen MT" w:cs="Times New Roman"/>
          <w:b w:val="0"/>
          <w:sz w:val="18"/>
          <w:szCs w:val="18"/>
        </w:rPr>
      </w:pPr>
    </w:p>
    <w:p w:rsidR="00F40BB1" w:rsidRDefault="00F40BB1" w:rsidP="00F40BB1">
      <w:pPr>
        <w:pStyle w:val="3"/>
        <w:spacing w:before="74" w:line="360" w:lineRule="auto"/>
        <w:ind w:left="0"/>
        <w:rPr>
          <w:rFonts w:ascii="Tw Cen MT" w:hAnsi="Tw Cen MT" w:cs="Times New Roman"/>
          <w:b w:val="0"/>
          <w:sz w:val="18"/>
          <w:szCs w:val="18"/>
        </w:rPr>
      </w:pPr>
    </w:p>
    <w:p w:rsidR="00AE3E37" w:rsidRDefault="00A9710C" w:rsidP="00953CF5">
      <w:pPr>
        <w:pStyle w:val="3"/>
        <w:spacing w:before="74" w:line="360" w:lineRule="auto"/>
      </w:pPr>
      <w:r>
        <w:rPr>
          <w:color w:val="BF5A14"/>
        </w:rPr>
        <w:t>Image</w:t>
      </w:r>
    </w:p>
    <w:p w:rsidR="00AE3E37" w:rsidRDefault="00A0665E" w:rsidP="00A0665E">
      <w:pPr>
        <w:pStyle w:val="a3"/>
        <w:spacing w:before="2"/>
        <w:ind w:firstLineChars="150" w:firstLine="236"/>
        <w:rPr>
          <w:rFonts w:ascii="Arial"/>
          <w:b/>
          <w:sz w:val="16"/>
        </w:rPr>
      </w:pPr>
      <w:r w:rsidRPr="00A0665E">
        <w:rPr>
          <w:rFonts w:ascii="Arial"/>
          <w:b/>
          <w:noProof/>
          <w:sz w:val="16"/>
          <w:lang w:eastAsia="ko-KR"/>
        </w:rPr>
        <w:drawing>
          <wp:inline distT="0" distB="0" distL="0" distR="0">
            <wp:extent cx="2238375" cy="1583690"/>
            <wp:effectExtent l="0" t="0" r="952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8815" cy="1584001"/>
                    </a:xfrm>
                    <a:prstGeom prst="rect">
                      <a:avLst/>
                    </a:prstGeom>
                    <a:noFill/>
                    <a:ln>
                      <a:noFill/>
                    </a:ln>
                  </pic:spPr>
                </pic:pic>
              </a:graphicData>
            </a:graphic>
          </wp:inline>
        </w:drawing>
      </w:r>
      <w:bookmarkStart w:id="2" w:name="_GoBack"/>
      <w:bookmarkEnd w:id="2"/>
    </w:p>
    <w:p w:rsidR="005973B9" w:rsidRDefault="00CB067C" w:rsidP="005973B9">
      <w:pPr>
        <w:spacing w:line="204" w:lineRule="exact"/>
        <w:rPr>
          <w:rFonts w:ascii="Arial"/>
          <w:b/>
          <w:sz w:val="20"/>
        </w:rPr>
      </w:pPr>
      <w:r>
        <w:rPr>
          <w:rFonts w:ascii="Arial"/>
          <w:b/>
          <w:color w:val="BF5A14"/>
          <w:sz w:val="20"/>
        </w:rPr>
        <w:br/>
        <w:t>Recent Publications</w:t>
      </w:r>
    </w:p>
    <w:p w:rsidR="005973B9" w:rsidRDefault="00C3165F" w:rsidP="005973B9">
      <w:pPr>
        <w:pStyle w:val="a4"/>
        <w:numPr>
          <w:ilvl w:val="0"/>
          <w:numId w:val="3"/>
        </w:numPr>
        <w:tabs>
          <w:tab w:val="left" w:pos="384"/>
        </w:tabs>
        <w:spacing w:before="103" w:line="216" w:lineRule="exact"/>
        <w:ind w:right="138" w:hanging="283"/>
        <w:rPr>
          <w:sz w:val="18"/>
        </w:rPr>
      </w:pPr>
      <w:r>
        <w:rPr>
          <w:sz w:val="18"/>
        </w:rPr>
        <w:t>Ji-</w:t>
      </w:r>
      <w:proofErr w:type="spellStart"/>
      <w:r>
        <w:rPr>
          <w:sz w:val="18"/>
        </w:rPr>
        <w:t>Hee</w:t>
      </w:r>
      <w:proofErr w:type="spellEnd"/>
      <w:r>
        <w:rPr>
          <w:sz w:val="18"/>
        </w:rPr>
        <w:t xml:space="preserve"> Min et al.</w:t>
      </w:r>
      <w:r w:rsidR="005973B9">
        <w:rPr>
          <w:sz w:val="18"/>
        </w:rPr>
        <w:t xml:space="preserve"> (</w:t>
      </w:r>
      <w:r>
        <w:rPr>
          <w:sz w:val="18"/>
        </w:rPr>
        <w:t>2017</w:t>
      </w:r>
      <w:r w:rsidR="005973B9">
        <w:rPr>
          <w:sz w:val="18"/>
        </w:rPr>
        <w:t xml:space="preserve">) </w:t>
      </w:r>
      <w:r>
        <w:rPr>
          <w:sz w:val="18"/>
        </w:rPr>
        <w:t>Arabidopsis basic Helix-Loop-Helix 34 (bHLH34) is involved in glucose signaling through binding to a GAGA cis-element</w:t>
      </w:r>
      <w:r w:rsidR="005973B9" w:rsidRPr="005973B9">
        <w:rPr>
          <w:sz w:val="18"/>
        </w:rPr>
        <w:t xml:space="preserve">. </w:t>
      </w:r>
      <w:r>
        <w:rPr>
          <w:sz w:val="18"/>
        </w:rPr>
        <w:t>Frontiers in Plant Science</w:t>
      </w:r>
      <w:r w:rsidR="005973B9" w:rsidRPr="005973B9">
        <w:rPr>
          <w:sz w:val="18"/>
        </w:rPr>
        <w:t xml:space="preserve"> </w:t>
      </w:r>
      <w:r>
        <w:rPr>
          <w:sz w:val="18"/>
        </w:rPr>
        <w:t>8</w:t>
      </w:r>
      <w:r w:rsidR="005973B9" w:rsidRPr="005973B9">
        <w:rPr>
          <w:sz w:val="18"/>
        </w:rPr>
        <w:t>:</w:t>
      </w:r>
      <w:r w:rsidR="00111F2C">
        <w:rPr>
          <w:sz w:val="18"/>
        </w:rPr>
        <w:t>2100</w:t>
      </w:r>
      <w:r w:rsidR="005973B9" w:rsidRPr="005973B9">
        <w:rPr>
          <w:sz w:val="18"/>
        </w:rPr>
        <w:t>.</w:t>
      </w:r>
    </w:p>
    <w:p w:rsidR="005973B9" w:rsidRDefault="00111F2C" w:rsidP="005973B9">
      <w:pPr>
        <w:pStyle w:val="a4"/>
        <w:numPr>
          <w:ilvl w:val="0"/>
          <w:numId w:val="3"/>
        </w:numPr>
        <w:tabs>
          <w:tab w:val="left" w:pos="384"/>
        </w:tabs>
        <w:spacing w:line="216" w:lineRule="exact"/>
        <w:ind w:right="137" w:hanging="283"/>
        <w:rPr>
          <w:sz w:val="18"/>
        </w:rPr>
      </w:pPr>
      <w:r>
        <w:rPr>
          <w:sz w:val="18"/>
        </w:rPr>
        <w:t>Ah-</w:t>
      </w:r>
      <w:proofErr w:type="spellStart"/>
      <w:r>
        <w:rPr>
          <w:sz w:val="18"/>
        </w:rPr>
        <w:t>Reum</w:t>
      </w:r>
      <w:proofErr w:type="spellEnd"/>
      <w:r>
        <w:rPr>
          <w:sz w:val="18"/>
        </w:rPr>
        <w:t xml:space="preserve"> Kim et al.</w:t>
      </w:r>
      <w:r w:rsidR="005973B9">
        <w:rPr>
          <w:sz w:val="18"/>
        </w:rPr>
        <w:t xml:space="preserve"> (20</w:t>
      </w:r>
      <w:r>
        <w:rPr>
          <w:sz w:val="18"/>
        </w:rPr>
        <w:t>17</w:t>
      </w:r>
      <w:r w:rsidR="005973B9">
        <w:rPr>
          <w:sz w:val="18"/>
        </w:rPr>
        <w:t xml:space="preserve">) </w:t>
      </w:r>
      <w:r w:rsidR="004947A2">
        <w:rPr>
          <w:sz w:val="18"/>
        </w:rPr>
        <w:t>PCA22 acts as a suppressor of atrzf1 to mediate proline accumulation in response to abiotic stress in Arabidopsis</w:t>
      </w:r>
      <w:r w:rsidR="005973B9">
        <w:rPr>
          <w:sz w:val="18"/>
        </w:rPr>
        <w:t xml:space="preserve">. </w:t>
      </w:r>
      <w:r w:rsidR="004947A2">
        <w:rPr>
          <w:sz w:val="18"/>
        </w:rPr>
        <w:t>Journal of Experimental Botany</w:t>
      </w:r>
      <w:r w:rsidR="005973B9">
        <w:rPr>
          <w:sz w:val="18"/>
        </w:rPr>
        <w:t xml:space="preserve"> </w:t>
      </w:r>
      <w:r w:rsidR="004947A2">
        <w:rPr>
          <w:sz w:val="18"/>
        </w:rPr>
        <w:t>68</w:t>
      </w:r>
      <w:r w:rsidR="005973B9">
        <w:rPr>
          <w:sz w:val="18"/>
        </w:rPr>
        <w:t>:</w:t>
      </w:r>
      <w:r w:rsidR="004947A2">
        <w:rPr>
          <w:sz w:val="18"/>
        </w:rPr>
        <w:t>1797-1809</w:t>
      </w:r>
      <w:r w:rsidR="005973B9">
        <w:rPr>
          <w:sz w:val="18"/>
        </w:rPr>
        <w:t>.</w:t>
      </w:r>
    </w:p>
    <w:p w:rsidR="005973B9" w:rsidRDefault="002274A7" w:rsidP="005973B9">
      <w:pPr>
        <w:pStyle w:val="a4"/>
        <w:numPr>
          <w:ilvl w:val="0"/>
          <w:numId w:val="3"/>
        </w:numPr>
        <w:tabs>
          <w:tab w:val="left" w:pos="384"/>
        </w:tabs>
        <w:spacing w:line="216" w:lineRule="exact"/>
        <w:ind w:right="138" w:hanging="283"/>
        <w:rPr>
          <w:sz w:val="18"/>
        </w:rPr>
      </w:pPr>
      <w:r>
        <w:rPr>
          <w:sz w:val="18"/>
        </w:rPr>
        <w:t>Moon-Soo Chung</w:t>
      </w:r>
      <w:r w:rsidR="00742F38">
        <w:rPr>
          <w:sz w:val="18"/>
        </w:rPr>
        <w:t xml:space="preserve"> et al.</w:t>
      </w:r>
      <w:r>
        <w:rPr>
          <w:sz w:val="18"/>
        </w:rPr>
        <w:t xml:space="preserve"> (2016</w:t>
      </w:r>
      <w:r w:rsidR="005973B9">
        <w:rPr>
          <w:sz w:val="18"/>
        </w:rPr>
        <w:t>)</w:t>
      </w:r>
      <w:r>
        <w:rPr>
          <w:sz w:val="18"/>
        </w:rPr>
        <w:t xml:space="preserve"> Regulation of </w:t>
      </w:r>
      <w:proofErr w:type="spellStart"/>
      <w:r>
        <w:rPr>
          <w:sz w:val="18"/>
        </w:rPr>
        <w:t>AtPGR</w:t>
      </w:r>
      <w:proofErr w:type="spellEnd"/>
      <w:r>
        <w:rPr>
          <w:sz w:val="18"/>
        </w:rPr>
        <w:t xml:space="preserve"> expression by </w:t>
      </w:r>
      <w:proofErr w:type="spellStart"/>
      <w:r>
        <w:rPr>
          <w:sz w:val="18"/>
        </w:rPr>
        <w:t>AtSTKL</w:t>
      </w:r>
      <w:proofErr w:type="spellEnd"/>
      <w:r>
        <w:rPr>
          <w:sz w:val="18"/>
        </w:rPr>
        <w:t xml:space="preserve"> modulates glucose response in Arabidopsis</w:t>
      </w:r>
      <w:r w:rsidR="005973B9">
        <w:rPr>
          <w:sz w:val="18"/>
        </w:rPr>
        <w:t xml:space="preserve">. </w:t>
      </w:r>
      <w:r>
        <w:rPr>
          <w:sz w:val="18"/>
        </w:rPr>
        <w:t>Plant Physiology and Biochemistry</w:t>
      </w:r>
      <w:r w:rsidR="005973B9">
        <w:rPr>
          <w:sz w:val="18"/>
        </w:rPr>
        <w:t xml:space="preserve"> </w:t>
      </w:r>
      <w:r>
        <w:rPr>
          <w:sz w:val="18"/>
        </w:rPr>
        <w:t>104</w:t>
      </w:r>
      <w:r w:rsidR="005973B9">
        <w:rPr>
          <w:sz w:val="18"/>
        </w:rPr>
        <w:t>:</w:t>
      </w:r>
      <w:r>
        <w:rPr>
          <w:sz w:val="18"/>
        </w:rPr>
        <w:t>155-164</w:t>
      </w:r>
      <w:r w:rsidR="005973B9">
        <w:rPr>
          <w:sz w:val="18"/>
        </w:rPr>
        <w:t>.</w:t>
      </w:r>
    </w:p>
    <w:p w:rsidR="005973B9" w:rsidRDefault="00742F38" w:rsidP="005973B9">
      <w:pPr>
        <w:pStyle w:val="a4"/>
        <w:numPr>
          <w:ilvl w:val="0"/>
          <w:numId w:val="3"/>
        </w:numPr>
        <w:tabs>
          <w:tab w:val="left" w:pos="384"/>
        </w:tabs>
        <w:spacing w:before="92" w:line="218" w:lineRule="exact"/>
        <w:ind w:hanging="283"/>
        <w:rPr>
          <w:sz w:val="18"/>
        </w:rPr>
      </w:pPr>
      <w:r>
        <w:rPr>
          <w:sz w:val="18"/>
        </w:rPr>
        <w:t>Ji-</w:t>
      </w:r>
      <w:proofErr w:type="spellStart"/>
      <w:r>
        <w:rPr>
          <w:sz w:val="18"/>
        </w:rPr>
        <w:t>Hee</w:t>
      </w:r>
      <w:proofErr w:type="spellEnd"/>
      <w:r>
        <w:rPr>
          <w:sz w:val="18"/>
        </w:rPr>
        <w:t xml:space="preserve"> Min et al. (201</w:t>
      </w:r>
      <w:r w:rsidR="005973B9">
        <w:rPr>
          <w:sz w:val="18"/>
        </w:rPr>
        <w:t xml:space="preserve">5) </w:t>
      </w:r>
      <w:r>
        <w:rPr>
          <w:sz w:val="18"/>
        </w:rPr>
        <w:t>The B-box zinc finger family AtCOL4 is a positive regulator of abiotic stress tolerance through the ABA-dependent manner in Arabidopsis</w:t>
      </w:r>
      <w:r w:rsidR="005973B9" w:rsidRPr="005973B9">
        <w:rPr>
          <w:sz w:val="18"/>
        </w:rPr>
        <w:t xml:space="preserve">. </w:t>
      </w:r>
      <w:r>
        <w:rPr>
          <w:sz w:val="18"/>
        </w:rPr>
        <w:t>Journal of Integrative Plant Biology 57:313-324.</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6628BC">
        <w:rPr>
          <w:rFonts w:ascii="Calibri" w:hAnsi="Calibri"/>
        </w:rPr>
        <w:t xml:space="preserve">Hyun-Woo </w:t>
      </w:r>
      <w:proofErr w:type="spellStart"/>
      <w:r w:rsidR="006628BC">
        <w:rPr>
          <w:rFonts w:ascii="Calibri" w:hAnsi="Calibri"/>
        </w:rPr>
        <w:t>Ju</w:t>
      </w:r>
      <w:proofErr w:type="spellEnd"/>
      <w:r w:rsidR="006628BC">
        <w:rPr>
          <w:rFonts w:ascii="Calibri" w:hAnsi="Calibri"/>
        </w:rPr>
        <w:t xml:space="preserve"> et al. (2013</w:t>
      </w:r>
      <w:r>
        <w:rPr>
          <w:rFonts w:ascii="Calibri" w:hAnsi="Calibri"/>
        </w:rPr>
        <w:t xml:space="preserve">) </w:t>
      </w:r>
      <w:proofErr w:type="gramStart"/>
      <w:r w:rsidR="006628BC">
        <w:rPr>
          <w:rFonts w:ascii="Calibri" w:hAnsi="Calibri"/>
        </w:rPr>
        <w:t>The</w:t>
      </w:r>
      <w:proofErr w:type="gramEnd"/>
      <w:r w:rsidR="006628BC">
        <w:rPr>
          <w:rFonts w:ascii="Calibri" w:hAnsi="Calibri"/>
        </w:rPr>
        <w:t xml:space="preserve"> atrzf1 mutation of the novel RING-type E3 ubiquitin ligase increases proline contents and enhances drought tolerance in Arabidopsis</w:t>
      </w:r>
      <w:r>
        <w:rPr>
          <w:rFonts w:ascii="Calibri" w:hAnsi="Calibri"/>
          <w:spacing w:val="-4"/>
        </w:rPr>
        <w:t xml:space="preserve">. </w:t>
      </w:r>
      <w:r w:rsidR="006628BC">
        <w:rPr>
          <w:rFonts w:ascii="Calibri" w:hAnsi="Calibri"/>
        </w:rPr>
        <w:t>Plant Science</w:t>
      </w:r>
      <w:r>
        <w:rPr>
          <w:rFonts w:ascii="Calibri" w:hAnsi="Calibri"/>
        </w:rPr>
        <w:t xml:space="preserve"> </w:t>
      </w:r>
      <w:r w:rsidR="006628BC">
        <w:rPr>
          <w:rFonts w:ascii="Calibri" w:hAnsi="Calibri"/>
        </w:rPr>
        <w:t>203-204</w:t>
      </w:r>
      <w:r>
        <w:rPr>
          <w:rFonts w:ascii="Calibri" w:hAnsi="Calibri"/>
        </w:rPr>
        <w:t>:</w:t>
      </w:r>
      <w:r w:rsidR="006628BC">
        <w:rPr>
          <w:rFonts w:ascii="Calibri" w:hAnsi="Calibri"/>
        </w:rPr>
        <w:t>1-7</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BE5E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E4705">
        <w:rPr>
          <w:noProof/>
          <w:lang w:eastAsia="ko-KR"/>
        </w:rPr>
        <w:drawing>
          <wp:inline distT="0" distB="0" distL="0" distR="0">
            <wp:extent cx="599021" cy="784225"/>
            <wp:effectExtent l="19050" t="19050" r="10795" b="1587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kaoTalk_20180629_1357431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9021" cy="784225"/>
                    </a:xfrm>
                    <a:prstGeom prst="rect">
                      <a:avLst/>
                    </a:prstGeom>
                    <a:ln>
                      <a:solidFill>
                        <a:schemeClr val="tx1"/>
                      </a:solidFill>
                    </a:ln>
                  </pic:spPr>
                </pic:pic>
              </a:graphicData>
            </a:graphic>
          </wp:inline>
        </w:drawing>
      </w:r>
      <w:r w:rsidR="00355AD8">
        <w:rPr>
          <w:noProof/>
        </w:rPr>
        <w:t xml:space="preserve">  </w:t>
      </w:r>
      <w:r w:rsidR="00A9710C">
        <w:rPr>
          <w:rFonts w:ascii="Arial"/>
          <w:color w:val="BF5A14"/>
        </w:rPr>
        <w:t>Biography</w:t>
      </w:r>
    </w:p>
    <w:p w:rsidR="005910F1" w:rsidRPr="005910F1" w:rsidRDefault="005910F1" w:rsidP="005910F1">
      <w:pPr>
        <w:jc w:val="both"/>
        <w:rPr>
          <w:rFonts w:ascii="Arial" w:hAnsi="Arial" w:cs="Arial"/>
          <w:sz w:val="18"/>
          <w:szCs w:val="18"/>
          <w:lang w:val="en"/>
        </w:rPr>
      </w:pPr>
      <w:proofErr w:type="spellStart"/>
      <w:r w:rsidRPr="005910F1">
        <w:rPr>
          <w:rFonts w:ascii="Arial" w:hAnsi="Arial" w:cs="Arial"/>
          <w:sz w:val="18"/>
          <w:szCs w:val="18"/>
          <w:lang w:val="en"/>
        </w:rPr>
        <w:t>Cheol</w:t>
      </w:r>
      <w:proofErr w:type="spellEnd"/>
      <w:r w:rsidRPr="005910F1">
        <w:rPr>
          <w:rFonts w:ascii="Arial" w:hAnsi="Arial" w:cs="Arial"/>
          <w:sz w:val="18"/>
          <w:szCs w:val="18"/>
          <w:lang w:val="en"/>
        </w:rPr>
        <w:t xml:space="preserve"> Soo Kim is a faculty member in the </w:t>
      </w:r>
      <w:hyperlink r:id="rId11" w:history="1">
        <w:r w:rsidRPr="005910F1">
          <w:rPr>
            <w:rStyle w:val="a8"/>
            <w:rFonts w:ascii="Arial" w:hAnsi="Arial" w:cs="Arial"/>
            <w:color w:val="auto"/>
            <w:sz w:val="18"/>
            <w:szCs w:val="18"/>
            <w:u w:val="none"/>
            <w:lang w:val="en"/>
          </w:rPr>
          <w:t>Department of Plant</w:t>
        </w:r>
      </w:hyperlink>
      <w:r w:rsidRPr="005910F1">
        <w:rPr>
          <w:rFonts w:ascii="Arial" w:hAnsi="Arial" w:cs="Arial"/>
          <w:sz w:val="18"/>
          <w:szCs w:val="18"/>
          <w:lang w:val="en"/>
        </w:rPr>
        <w:t xml:space="preserve"> Biotechnology at the </w:t>
      </w:r>
      <w:proofErr w:type="spellStart"/>
      <w:r w:rsidRPr="005910F1">
        <w:rPr>
          <w:rFonts w:ascii="Arial" w:hAnsi="Arial" w:cs="Arial"/>
          <w:sz w:val="18"/>
          <w:szCs w:val="18"/>
          <w:lang w:val="en"/>
        </w:rPr>
        <w:t>Chonnam</w:t>
      </w:r>
      <w:proofErr w:type="spellEnd"/>
      <w:r w:rsidRPr="005910F1">
        <w:rPr>
          <w:rFonts w:ascii="Arial" w:hAnsi="Arial" w:cs="Arial"/>
          <w:sz w:val="18"/>
          <w:szCs w:val="18"/>
          <w:lang w:val="en"/>
        </w:rPr>
        <w:t xml:space="preserve"> National University of South Korea. </w:t>
      </w:r>
      <w:r>
        <w:rPr>
          <w:rFonts w:ascii="Arial" w:hAnsi="Arial" w:cs="Arial"/>
          <w:sz w:val="18"/>
          <w:szCs w:val="18"/>
          <w:lang w:val="en"/>
        </w:rPr>
        <w:t xml:space="preserve">Kim </w:t>
      </w:r>
      <w:r w:rsidRPr="005910F1">
        <w:rPr>
          <w:rFonts w:ascii="Arial" w:hAnsi="Arial" w:cs="Arial"/>
          <w:sz w:val="18"/>
          <w:szCs w:val="18"/>
          <w:lang w:val="en"/>
        </w:rPr>
        <w:t xml:space="preserve">focuses on researching the molecular genetic mechanisms underlying plant responses to adverse environments such as osmotic stress, </w:t>
      </w:r>
      <w:r w:rsidR="00200A62">
        <w:rPr>
          <w:rFonts w:ascii="Arial" w:hAnsi="Arial" w:cs="Arial"/>
          <w:sz w:val="18"/>
          <w:szCs w:val="18"/>
          <w:lang w:val="en"/>
        </w:rPr>
        <w:t>drought</w:t>
      </w:r>
      <w:r w:rsidRPr="005910F1">
        <w:rPr>
          <w:rFonts w:ascii="Arial" w:hAnsi="Arial" w:cs="Arial"/>
          <w:sz w:val="18"/>
          <w:szCs w:val="18"/>
          <w:lang w:val="en"/>
        </w:rPr>
        <w:t xml:space="preserve"> and biotic stress. His work has led to the identification of genes for modifying the responses of crops to environmental stresses, which will ultimately lead to major contributions to agriculture and the environment. Kim and his colleagues have used the model plant </w:t>
      </w:r>
      <w:r w:rsidRPr="005910F1">
        <w:rPr>
          <w:rFonts w:ascii="Arial" w:hAnsi="Arial" w:cs="Arial"/>
          <w:i/>
          <w:iCs/>
          <w:sz w:val="18"/>
          <w:szCs w:val="18"/>
          <w:lang w:val="en"/>
        </w:rPr>
        <w:t>Arabidopsis</w:t>
      </w:r>
      <w:r w:rsidRPr="005910F1">
        <w:rPr>
          <w:rFonts w:ascii="Arial" w:hAnsi="Arial" w:cs="Arial"/>
          <w:sz w:val="18"/>
          <w:szCs w:val="18"/>
          <w:lang w:val="en"/>
        </w:rPr>
        <w:t xml:space="preserve"> to create mutants that are “proline content alterative” (PCA). By characterizing the PCA genes, they have been able to describe a proline metabolism pathway that mediates the response of Arabidopsis to drought. Recently, the Kim lab has focused on the mechanisms of post-translational ubiquitination in environmental stress adaptation.</w:t>
      </w:r>
    </w:p>
    <w:p w:rsidR="00AE3E37" w:rsidRPr="005910F1" w:rsidRDefault="00A9710C" w:rsidP="005910F1">
      <w:pPr>
        <w:spacing w:before="62"/>
        <w:ind w:left="4217" w:right="4235"/>
        <w:jc w:val="center"/>
        <w:rPr>
          <w:rFonts w:ascii="Arial"/>
          <w:sz w:val="14"/>
        </w:rPr>
        <w:sectPr w:rsidR="00AE3E37" w:rsidRPr="005910F1">
          <w:type w:val="continuous"/>
          <w:pgSz w:w="11910" w:h="16840"/>
          <w:pgMar w:top="1740" w:right="600" w:bottom="840" w:left="620" w:header="720" w:footer="720" w:gutter="0"/>
          <w:cols w:space="720"/>
        </w:sectPr>
      </w:pPr>
      <w:r w:rsidRPr="005910F1">
        <w:rPr>
          <w:rFonts w:ascii="Arial"/>
          <w:sz w:val="14"/>
        </w:rPr>
        <w:t xml:space="preserve">Email: </w:t>
      </w:r>
      <w:r w:rsidR="006628BC">
        <w:rPr>
          <w:rFonts w:ascii="Arial"/>
          <w:sz w:val="14"/>
        </w:rPr>
        <w:t>cskim626@jnu.ac.k</w:t>
      </w:r>
      <w:r w:rsidR="00292ED9" w:rsidRPr="005910F1">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52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628BC">
        <w:rPr>
          <w:rFonts w:ascii="Arial"/>
          <w:sz w:val="14"/>
        </w:rPr>
        <w:t>r</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BFA" w:rsidRDefault="009D1BFA">
      <w:r>
        <w:separator/>
      </w:r>
    </w:p>
  </w:endnote>
  <w:endnote w:type="continuationSeparator" w:id="0">
    <w:p w:rsidR="009D1BFA" w:rsidRDefault="009D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1"/>
    <w:family w:val="modern"/>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BFA" w:rsidRDefault="009D1BFA">
      <w:r>
        <w:separator/>
      </w:r>
    </w:p>
  </w:footnote>
  <w:footnote w:type="continuationSeparator" w:id="0">
    <w:p w:rsidR="009D1BFA" w:rsidRDefault="009D1B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3B3"/>
    <w:rsid w:val="000706D1"/>
    <w:rsid w:val="000E2911"/>
    <w:rsid w:val="00111F2C"/>
    <w:rsid w:val="001263DF"/>
    <w:rsid w:val="001D64EB"/>
    <w:rsid w:val="001E14CD"/>
    <w:rsid w:val="00200A62"/>
    <w:rsid w:val="002274A7"/>
    <w:rsid w:val="002455EC"/>
    <w:rsid w:val="00283269"/>
    <w:rsid w:val="00292ED9"/>
    <w:rsid w:val="002F791C"/>
    <w:rsid w:val="00355AD8"/>
    <w:rsid w:val="003E18D3"/>
    <w:rsid w:val="00404E5B"/>
    <w:rsid w:val="00414F7B"/>
    <w:rsid w:val="004355DC"/>
    <w:rsid w:val="004749B4"/>
    <w:rsid w:val="00494130"/>
    <w:rsid w:val="004947A2"/>
    <w:rsid w:val="004C77C0"/>
    <w:rsid w:val="004F3523"/>
    <w:rsid w:val="005175A9"/>
    <w:rsid w:val="005910F1"/>
    <w:rsid w:val="005973B9"/>
    <w:rsid w:val="005B3A56"/>
    <w:rsid w:val="006060CE"/>
    <w:rsid w:val="0063497F"/>
    <w:rsid w:val="006572D3"/>
    <w:rsid w:val="006628BC"/>
    <w:rsid w:val="00736172"/>
    <w:rsid w:val="00742F38"/>
    <w:rsid w:val="007D11DB"/>
    <w:rsid w:val="007E4705"/>
    <w:rsid w:val="00873DF0"/>
    <w:rsid w:val="008756E6"/>
    <w:rsid w:val="008A08B6"/>
    <w:rsid w:val="00953CF5"/>
    <w:rsid w:val="009B2D44"/>
    <w:rsid w:val="009D1BFA"/>
    <w:rsid w:val="00A0665E"/>
    <w:rsid w:val="00A07E82"/>
    <w:rsid w:val="00A169FE"/>
    <w:rsid w:val="00A9710C"/>
    <w:rsid w:val="00AE3E37"/>
    <w:rsid w:val="00B077F0"/>
    <w:rsid w:val="00B21A57"/>
    <w:rsid w:val="00C3165F"/>
    <w:rsid w:val="00C33602"/>
    <w:rsid w:val="00C42683"/>
    <w:rsid w:val="00CB067C"/>
    <w:rsid w:val="00CD6F55"/>
    <w:rsid w:val="00D6044F"/>
    <w:rsid w:val="00DD3145"/>
    <w:rsid w:val="00DE3104"/>
    <w:rsid w:val="00E26B10"/>
    <w:rsid w:val="00F40BB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64331F-25D6-4099-B711-760FE1B9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lantbiology.ucr.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1</Pages>
  <Words>551</Words>
  <Characters>3142</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33</cp:revision>
  <dcterms:created xsi:type="dcterms:W3CDTF">2018-06-28T08:56:00Z</dcterms:created>
  <dcterms:modified xsi:type="dcterms:W3CDTF">2018-06-29T08:33:00Z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