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0E251" w14:textId="58F0C024" w:rsidR="00063F6E" w:rsidRPr="00E547F1" w:rsidRDefault="00D51EFF" w:rsidP="00712E3D">
      <w:pPr>
        <w:spacing w:after="0" w:line="276" w:lineRule="auto"/>
        <w:ind w:left="90"/>
        <w:jc w:val="center"/>
        <w:rPr>
          <w:rFonts w:ascii="Times New Roman" w:hAnsi="Times New Roman" w:cs="Times New Roman"/>
          <w:b/>
          <w:color w:val="000000" w:themeColor="text1"/>
          <w:sz w:val="26"/>
          <w:szCs w:val="24"/>
        </w:rPr>
      </w:pPr>
      <w:r>
        <w:rPr>
          <w:rFonts w:ascii="Times New Roman" w:hAnsi="Times New Roman" w:cs="Times New Roman"/>
          <w:b/>
          <w:color w:val="000000" w:themeColor="text1"/>
          <w:sz w:val="26"/>
          <w:szCs w:val="24"/>
        </w:rPr>
        <w:t>Plant Biotechnology for Food security and Sustainable</w:t>
      </w:r>
      <w:r w:rsidR="00A54F20">
        <w:rPr>
          <w:rFonts w:ascii="Times New Roman" w:hAnsi="Times New Roman" w:cs="Times New Roman"/>
          <w:b/>
          <w:color w:val="000000" w:themeColor="text1"/>
          <w:sz w:val="26"/>
          <w:szCs w:val="24"/>
        </w:rPr>
        <w:t xml:space="preserve"> Agriculture</w:t>
      </w:r>
    </w:p>
    <w:p w14:paraId="7FB6FBD6" w14:textId="77777777" w:rsidR="00E10861" w:rsidRPr="00E547F1" w:rsidRDefault="00E10861" w:rsidP="00712E3D">
      <w:pPr>
        <w:spacing w:after="0" w:line="276" w:lineRule="auto"/>
        <w:ind w:left="967"/>
        <w:rPr>
          <w:rFonts w:ascii="Times New Roman" w:hAnsi="Times New Roman" w:cs="Times New Roman"/>
          <w:b/>
          <w:color w:val="000000" w:themeColor="text1"/>
          <w:sz w:val="24"/>
          <w:szCs w:val="24"/>
        </w:rPr>
      </w:pPr>
    </w:p>
    <w:p w14:paraId="29E84CB6" w14:textId="77777777" w:rsidR="005B42FF" w:rsidRPr="000C7C7F" w:rsidRDefault="005B42FF" w:rsidP="002D23DE">
      <w:pPr>
        <w:spacing w:after="0" w:line="276" w:lineRule="auto"/>
        <w:rPr>
          <w:rFonts w:ascii="Times New Roman" w:hAnsi="Times New Roman" w:cs="Times New Roman"/>
          <w:b/>
          <w:color w:val="000000" w:themeColor="text1"/>
          <w:szCs w:val="24"/>
        </w:rPr>
      </w:pPr>
      <w:r w:rsidRPr="000C7C7F">
        <w:rPr>
          <w:rFonts w:ascii="Times New Roman" w:hAnsi="Times New Roman" w:cs="Times New Roman"/>
          <w:b/>
          <w:color w:val="000000" w:themeColor="text1"/>
          <w:szCs w:val="24"/>
        </w:rPr>
        <w:t>Kauser Abdulla Malik</w:t>
      </w:r>
      <w:r w:rsidR="002D23DE" w:rsidRPr="000C7C7F">
        <w:rPr>
          <w:rFonts w:ascii="Times New Roman" w:hAnsi="Times New Roman" w:cs="Times New Roman"/>
          <w:b/>
          <w:color w:val="000000" w:themeColor="text1"/>
          <w:szCs w:val="24"/>
        </w:rPr>
        <w:t xml:space="preserve">, Asma Maqbool, Muhammad Irfan, Aftab Bashir, Salma Mukhtar, </w:t>
      </w:r>
      <w:r w:rsidR="000C7C7F" w:rsidRPr="000C7C7F">
        <w:rPr>
          <w:rFonts w:ascii="Times New Roman" w:hAnsi="Times New Roman" w:cs="Times New Roman"/>
          <w:b/>
          <w:color w:val="000000" w:themeColor="text1"/>
          <w:szCs w:val="24"/>
        </w:rPr>
        <w:t>Muhammad Imran and Samina Mehnaz</w:t>
      </w:r>
    </w:p>
    <w:p w14:paraId="4FD3A148" w14:textId="77777777" w:rsidR="000C7C7F" w:rsidRPr="00E547F1" w:rsidRDefault="000C7C7F" w:rsidP="002D23DE">
      <w:pPr>
        <w:spacing w:after="0" w:line="276" w:lineRule="auto"/>
        <w:rPr>
          <w:rFonts w:ascii="Times New Roman" w:hAnsi="Times New Roman" w:cs="Times New Roman"/>
          <w:b/>
          <w:color w:val="000000" w:themeColor="text1"/>
          <w:sz w:val="24"/>
          <w:szCs w:val="24"/>
        </w:rPr>
      </w:pPr>
    </w:p>
    <w:p w14:paraId="04DF25B8" w14:textId="77777777" w:rsidR="008C52E9" w:rsidRPr="00E547F1" w:rsidRDefault="008C52E9" w:rsidP="00712E3D">
      <w:pPr>
        <w:spacing w:after="0" w:line="276" w:lineRule="auto"/>
        <w:rPr>
          <w:rFonts w:ascii="Times New Roman" w:hAnsi="Times New Roman" w:cs="Times New Roman"/>
          <w:bCs/>
          <w:color w:val="000000" w:themeColor="text1"/>
          <w:szCs w:val="24"/>
        </w:rPr>
      </w:pPr>
      <w:r w:rsidRPr="00E547F1">
        <w:rPr>
          <w:rFonts w:ascii="Times New Roman" w:eastAsia="Calibri" w:hAnsi="Times New Roman" w:cs="Times New Roman"/>
          <w:color w:val="000000" w:themeColor="text1"/>
          <w:szCs w:val="24"/>
          <w:shd w:val="clear" w:color="auto" w:fill="FFFFFF"/>
        </w:rPr>
        <w:t>Email: kausermalik@fccollege.edu.pk</w:t>
      </w:r>
    </w:p>
    <w:p w14:paraId="7FB6C028" w14:textId="77777777" w:rsidR="00E05526" w:rsidRPr="00E547F1" w:rsidRDefault="008C52E9" w:rsidP="00712E3D">
      <w:pPr>
        <w:spacing w:after="0" w:line="276" w:lineRule="auto"/>
        <w:rPr>
          <w:rFonts w:ascii="Times New Roman" w:hAnsi="Times New Roman" w:cs="Times New Roman"/>
          <w:b/>
          <w:color w:val="000000" w:themeColor="text1"/>
          <w:szCs w:val="24"/>
        </w:rPr>
      </w:pPr>
      <w:r w:rsidRPr="00E547F1">
        <w:rPr>
          <w:rFonts w:ascii="Times New Roman" w:hAnsi="Times New Roman" w:cs="Times New Roman"/>
          <w:bCs/>
          <w:color w:val="000000" w:themeColor="text1"/>
          <w:szCs w:val="24"/>
        </w:rPr>
        <w:t>KAM School of Life Sciences, Forman Christian College (A Chartered University), Ferozepur Road, Lahore 54600, Pakistan</w:t>
      </w:r>
    </w:p>
    <w:p w14:paraId="20F6C734" w14:textId="77777777" w:rsidR="00712E3D" w:rsidRDefault="00712E3D" w:rsidP="00712E3D">
      <w:pPr>
        <w:autoSpaceDE w:val="0"/>
        <w:autoSpaceDN w:val="0"/>
        <w:adjustRightInd w:val="0"/>
        <w:spacing w:after="0" w:line="276" w:lineRule="auto"/>
        <w:ind w:right="-90"/>
        <w:jc w:val="both"/>
        <w:rPr>
          <w:rFonts w:ascii="Times New Roman" w:hAnsi="Times New Roman" w:cs="Times New Roman"/>
          <w:b/>
          <w:color w:val="000000" w:themeColor="text1"/>
          <w:sz w:val="24"/>
          <w:szCs w:val="24"/>
        </w:rPr>
      </w:pPr>
    </w:p>
    <w:p w14:paraId="3644D55B" w14:textId="77777777" w:rsidR="00063F6E" w:rsidRDefault="00E547F1" w:rsidP="00712E3D">
      <w:pPr>
        <w:autoSpaceDE w:val="0"/>
        <w:autoSpaceDN w:val="0"/>
        <w:adjustRightInd w:val="0"/>
        <w:spacing w:after="0" w:line="276" w:lineRule="auto"/>
        <w:ind w:right="-90"/>
        <w:jc w:val="both"/>
        <w:rPr>
          <w:rFonts w:ascii="Times New Roman" w:hAnsi="Times New Roman" w:cs="Times New Roman"/>
          <w:b/>
          <w:color w:val="000000" w:themeColor="text1"/>
          <w:sz w:val="24"/>
          <w:szCs w:val="24"/>
        </w:rPr>
      </w:pPr>
      <w:r w:rsidRPr="00E547F1">
        <w:rPr>
          <w:rFonts w:ascii="Times New Roman" w:hAnsi="Times New Roman" w:cs="Times New Roman"/>
          <w:b/>
          <w:color w:val="000000" w:themeColor="text1"/>
          <w:sz w:val="24"/>
          <w:szCs w:val="24"/>
        </w:rPr>
        <w:t>Abstract</w:t>
      </w:r>
    </w:p>
    <w:p w14:paraId="09B9D822" w14:textId="77777777" w:rsidR="001439DD" w:rsidRPr="00E547F1" w:rsidRDefault="001439DD" w:rsidP="00712E3D">
      <w:pPr>
        <w:autoSpaceDE w:val="0"/>
        <w:autoSpaceDN w:val="0"/>
        <w:adjustRightInd w:val="0"/>
        <w:spacing w:after="0" w:line="276" w:lineRule="auto"/>
        <w:ind w:right="-90"/>
        <w:jc w:val="both"/>
        <w:rPr>
          <w:rFonts w:ascii="Times New Roman" w:hAnsi="Times New Roman" w:cs="Times New Roman"/>
          <w:b/>
          <w:color w:val="000000" w:themeColor="text1"/>
          <w:sz w:val="24"/>
          <w:szCs w:val="24"/>
        </w:rPr>
      </w:pPr>
    </w:p>
    <w:p w14:paraId="39A53C2F" w14:textId="77777777" w:rsidR="008B2EBD" w:rsidRDefault="00743F61" w:rsidP="00712E3D">
      <w:pPr>
        <w:spacing w:after="0" w:line="276" w:lineRule="auto"/>
        <w:jc w:val="both"/>
        <w:rPr>
          <w:rFonts w:ascii="Times New Roman" w:hAnsi="Times New Roman" w:cs="Times New Roman"/>
          <w:bCs/>
          <w:color w:val="000000" w:themeColor="text1"/>
          <w:sz w:val="24"/>
          <w:szCs w:val="24"/>
        </w:rPr>
      </w:pPr>
      <w:r w:rsidRPr="00E547F1">
        <w:rPr>
          <w:rFonts w:ascii="Times New Roman" w:hAnsi="Times New Roman" w:cs="Times New Roman"/>
          <w:color w:val="000000" w:themeColor="text1"/>
          <w:sz w:val="24"/>
          <w:szCs w:val="24"/>
          <w:shd w:val="clear" w:color="auto" w:fill="FFFFFF"/>
        </w:rPr>
        <w:t xml:space="preserve">The Global Food Security Index of 2019 has reported that every one in three countries is facing insufficient availability of food supply. </w:t>
      </w:r>
      <w:r w:rsidR="00957C2C" w:rsidRPr="00E547F1">
        <w:rPr>
          <w:rFonts w:ascii="Times New Roman" w:hAnsi="Times New Roman" w:cs="Times New Roman"/>
          <w:color w:val="000000" w:themeColor="text1"/>
          <w:sz w:val="24"/>
          <w:szCs w:val="24"/>
          <w:shd w:val="clear" w:color="auto" w:fill="FFFFFF"/>
        </w:rPr>
        <w:t>Phytate is a major constituent of wheat seeds and chelates metal ions, thus reduc</w:t>
      </w:r>
      <w:r w:rsidR="00C2119C">
        <w:rPr>
          <w:rFonts w:ascii="Times New Roman" w:hAnsi="Times New Roman" w:cs="Times New Roman"/>
          <w:color w:val="000000" w:themeColor="text1"/>
          <w:sz w:val="24"/>
          <w:szCs w:val="24"/>
          <w:shd w:val="clear" w:color="auto" w:fill="FFFFFF"/>
        </w:rPr>
        <w:t>ing their bioavailability and</w:t>
      </w:r>
      <w:r w:rsidR="00957C2C" w:rsidRPr="00E547F1">
        <w:rPr>
          <w:rFonts w:ascii="Times New Roman" w:hAnsi="Times New Roman" w:cs="Times New Roman"/>
          <w:color w:val="000000" w:themeColor="text1"/>
          <w:sz w:val="24"/>
          <w:szCs w:val="24"/>
          <w:shd w:val="clear" w:color="auto" w:fill="FFFFFF"/>
        </w:rPr>
        <w:t xml:space="preserve"> the nutritional value of grains. Transgenic plants expressing heterologous phytase are expected to enhance degradation of phytic acid stored in seeds</w:t>
      </w:r>
      <w:r w:rsidR="000F1871">
        <w:rPr>
          <w:rFonts w:ascii="Times New Roman" w:hAnsi="Times New Roman" w:cs="Times New Roman"/>
          <w:color w:val="000000" w:themeColor="text1"/>
          <w:sz w:val="24"/>
          <w:szCs w:val="24"/>
          <w:shd w:val="clear" w:color="auto" w:fill="FFFFFF"/>
        </w:rPr>
        <w:t xml:space="preserve"> and are proposed to increase </w:t>
      </w:r>
      <w:r w:rsidR="00957C2C" w:rsidRPr="00E547F1">
        <w:rPr>
          <w:rFonts w:ascii="Times New Roman" w:hAnsi="Times New Roman" w:cs="Times New Roman"/>
          <w:color w:val="000000" w:themeColor="text1"/>
          <w:sz w:val="24"/>
          <w:szCs w:val="24"/>
          <w:shd w:val="clear" w:color="auto" w:fill="FFFFFF"/>
        </w:rPr>
        <w:t>bioavailability of mineral nutrients.</w:t>
      </w:r>
      <w:r w:rsidR="00006825" w:rsidRPr="00E547F1">
        <w:rPr>
          <w:rFonts w:ascii="Times New Roman" w:hAnsi="Times New Roman" w:cs="Times New Roman"/>
          <w:color w:val="000000" w:themeColor="text1"/>
          <w:sz w:val="24"/>
          <w:szCs w:val="24"/>
          <w:shd w:val="clear" w:color="auto" w:fill="FFFFFF"/>
        </w:rPr>
        <w:t xml:space="preserve"> The transgenic lines </w:t>
      </w:r>
      <w:r w:rsidR="007B2D73" w:rsidRPr="00E547F1">
        <w:rPr>
          <w:rFonts w:ascii="Times New Roman" w:hAnsi="Times New Roman" w:cs="Times New Roman"/>
          <w:color w:val="000000" w:themeColor="text1"/>
          <w:sz w:val="24"/>
          <w:szCs w:val="24"/>
          <w:shd w:val="clear" w:color="auto" w:fill="FFFFFF"/>
        </w:rPr>
        <w:t>of wheat exhibited 18-</w:t>
      </w:r>
      <w:r w:rsidR="00006825" w:rsidRPr="00E547F1">
        <w:rPr>
          <w:rFonts w:ascii="Times New Roman" w:hAnsi="Times New Roman" w:cs="Times New Roman"/>
          <w:color w:val="000000" w:themeColor="text1"/>
          <w:sz w:val="24"/>
          <w:szCs w:val="24"/>
          <w:shd w:val="clear" w:color="auto" w:fill="FFFFFF"/>
        </w:rPr>
        <w:t>99 % increase in phytase activity and 12–76 % reduction of phytic acid content in seeds. </w:t>
      </w:r>
      <w:r w:rsidR="00321A1F">
        <w:rPr>
          <w:rFonts w:ascii="Times New Roman" w:hAnsi="Times New Roman" w:cs="Times New Roman"/>
          <w:color w:val="000000" w:themeColor="text1"/>
          <w:sz w:val="24"/>
          <w:szCs w:val="24"/>
          <w:shd w:val="clear" w:color="auto" w:fill="FFFFFF"/>
        </w:rPr>
        <w:t>T</w:t>
      </w:r>
      <w:r w:rsidR="00AD2BF1" w:rsidRPr="00E547F1">
        <w:rPr>
          <w:rFonts w:ascii="Times New Roman" w:hAnsi="Times New Roman" w:cs="Times New Roman"/>
          <w:color w:val="000000" w:themeColor="text1"/>
          <w:sz w:val="24"/>
          <w:szCs w:val="24"/>
          <w:shd w:val="clear" w:color="auto" w:fill="FFFFFF"/>
        </w:rPr>
        <w:t>ranscription factor</w:t>
      </w:r>
      <w:r w:rsidR="001F02CD" w:rsidRPr="00E547F1">
        <w:rPr>
          <w:rFonts w:ascii="Times New Roman" w:hAnsi="Times New Roman" w:cs="Times New Roman"/>
          <w:color w:val="000000" w:themeColor="text1"/>
          <w:sz w:val="24"/>
          <w:szCs w:val="24"/>
          <w:shd w:val="clear" w:color="auto" w:fill="FFFFFF"/>
        </w:rPr>
        <w:t xml:space="preserve">s such as </w:t>
      </w:r>
      <w:r w:rsidR="001F02CD" w:rsidRPr="00E547F1">
        <w:rPr>
          <w:rFonts w:ascii="Times New Roman" w:hAnsi="Times New Roman" w:cs="Times New Roman"/>
          <w:i/>
          <w:color w:val="000000" w:themeColor="text1"/>
          <w:sz w:val="24"/>
          <w:szCs w:val="24"/>
          <w:shd w:val="clear" w:color="auto" w:fill="FFFFFF"/>
        </w:rPr>
        <w:t xml:space="preserve">TaDof1 </w:t>
      </w:r>
      <w:r w:rsidR="001F02CD" w:rsidRPr="00E547F1">
        <w:rPr>
          <w:rFonts w:ascii="Times New Roman" w:hAnsi="Times New Roman" w:cs="Times New Roman"/>
          <w:color w:val="000000" w:themeColor="text1"/>
          <w:sz w:val="24"/>
          <w:szCs w:val="24"/>
          <w:shd w:val="clear" w:color="auto" w:fill="FFFFFF"/>
        </w:rPr>
        <w:t xml:space="preserve">have been used to develop transgenic crops with enhanced nitrogen and carbon assimilation under nitrogen-limiting conditions. </w:t>
      </w:r>
      <w:r w:rsidR="00AD2BF1" w:rsidRPr="00E547F1">
        <w:rPr>
          <w:rFonts w:ascii="Times New Roman" w:hAnsi="Times New Roman" w:cs="Times New Roman"/>
          <w:bCs/>
          <w:color w:val="000000" w:themeColor="text1"/>
          <w:sz w:val="24"/>
          <w:szCs w:val="24"/>
        </w:rPr>
        <w:t>Continuous herbicide resistance cropping and the intensive use of glyphosate over the last 20 years have led to the appearance of at least 34 glyphosate-resistant weed species worldwide. Genetic engineering of trees to imp</w:t>
      </w:r>
      <w:r w:rsidR="007400F7">
        <w:rPr>
          <w:rFonts w:ascii="Times New Roman" w:hAnsi="Times New Roman" w:cs="Times New Roman"/>
          <w:bCs/>
          <w:color w:val="000000" w:themeColor="text1"/>
          <w:sz w:val="24"/>
          <w:szCs w:val="24"/>
        </w:rPr>
        <w:t>rove productivity, wood quality</w:t>
      </w:r>
      <w:r w:rsidR="00AD2BF1" w:rsidRPr="00E547F1">
        <w:rPr>
          <w:rFonts w:ascii="Times New Roman" w:hAnsi="Times New Roman" w:cs="Times New Roman"/>
          <w:bCs/>
          <w:color w:val="000000" w:themeColor="text1"/>
          <w:sz w:val="24"/>
          <w:szCs w:val="24"/>
        </w:rPr>
        <w:t xml:space="preserve"> and resistance to abiotic stresses has been the primary goal of the forest biotechnology community. Transgenic </w:t>
      </w:r>
      <w:r w:rsidR="00AD2BF1" w:rsidRPr="00E547F1">
        <w:rPr>
          <w:rFonts w:ascii="Times New Roman" w:hAnsi="Times New Roman" w:cs="Times New Roman"/>
          <w:bCs/>
          <w:i/>
          <w:color w:val="000000" w:themeColor="text1"/>
          <w:sz w:val="24"/>
          <w:szCs w:val="24"/>
        </w:rPr>
        <w:t>Eucalyptus camaldulensis</w:t>
      </w:r>
      <w:r w:rsidR="00AD2BF1" w:rsidRPr="00E547F1">
        <w:rPr>
          <w:rFonts w:ascii="Times New Roman" w:hAnsi="Times New Roman" w:cs="Times New Roman"/>
          <w:bCs/>
          <w:color w:val="000000" w:themeColor="text1"/>
          <w:sz w:val="24"/>
          <w:szCs w:val="24"/>
        </w:rPr>
        <w:t xml:space="preserve"> lines with low lignin have been developed by down regulating lignin biosynthesis pathway</w:t>
      </w:r>
      <w:r w:rsidR="0083580B">
        <w:rPr>
          <w:rFonts w:ascii="Times New Roman" w:hAnsi="Times New Roman" w:cs="Times New Roman"/>
          <w:bCs/>
          <w:color w:val="000000" w:themeColor="text1"/>
          <w:sz w:val="24"/>
          <w:szCs w:val="24"/>
        </w:rPr>
        <w:t xml:space="preserve"> enzymes through RNAi approach. </w:t>
      </w:r>
      <w:r w:rsidR="00603155" w:rsidRPr="00E547F1">
        <w:rPr>
          <w:rFonts w:ascii="Times New Roman" w:hAnsi="Times New Roman" w:cs="Times New Roman"/>
          <w:bCs/>
          <w:color w:val="000000" w:themeColor="text1"/>
          <w:sz w:val="24"/>
          <w:szCs w:val="24"/>
        </w:rPr>
        <w:t>Microbial communities associate</w:t>
      </w:r>
      <w:r w:rsidR="00721488">
        <w:rPr>
          <w:rFonts w:ascii="Times New Roman" w:hAnsi="Times New Roman" w:cs="Times New Roman"/>
          <w:bCs/>
          <w:color w:val="000000" w:themeColor="text1"/>
          <w:sz w:val="24"/>
          <w:szCs w:val="24"/>
        </w:rPr>
        <w:t>d with halophytes</w:t>
      </w:r>
      <w:r w:rsidR="00C51677" w:rsidRPr="00E547F1">
        <w:rPr>
          <w:rFonts w:ascii="Times New Roman" w:hAnsi="Times New Roman" w:cs="Times New Roman"/>
          <w:bCs/>
          <w:color w:val="000000" w:themeColor="text1"/>
          <w:sz w:val="24"/>
          <w:szCs w:val="24"/>
        </w:rPr>
        <w:t xml:space="preserve"> cont</w:t>
      </w:r>
      <w:r w:rsidR="0083580B">
        <w:rPr>
          <w:rFonts w:ascii="Times New Roman" w:hAnsi="Times New Roman" w:cs="Times New Roman"/>
          <w:bCs/>
          <w:color w:val="000000" w:themeColor="text1"/>
          <w:sz w:val="24"/>
          <w:szCs w:val="24"/>
        </w:rPr>
        <w:t xml:space="preserve">ribute significantly to plant health, productivity and </w:t>
      </w:r>
      <w:r w:rsidR="00321A1F">
        <w:rPr>
          <w:rFonts w:ascii="Times New Roman" w:hAnsi="Times New Roman" w:cs="Times New Roman"/>
          <w:bCs/>
          <w:color w:val="000000" w:themeColor="text1"/>
          <w:sz w:val="24"/>
          <w:szCs w:val="24"/>
        </w:rPr>
        <w:t>osmoregulation</w:t>
      </w:r>
      <w:r w:rsidR="00FE0F0F" w:rsidRPr="00E547F1">
        <w:rPr>
          <w:rFonts w:ascii="Times New Roman" w:hAnsi="Times New Roman" w:cs="Times New Roman"/>
          <w:bCs/>
          <w:color w:val="000000" w:themeColor="text1"/>
          <w:sz w:val="24"/>
          <w:szCs w:val="24"/>
        </w:rPr>
        <w:t>.</w:t>
      </w:r>
      <w:r w:rsidR="00B379EA" w:rsidRPr="00E547F1">
        <w:rPr>
          <w:rFonts w:ascii="Times New Roman" w:hAnsi="Times New Roman" w:cs="Times New Roman"/>
          <w:bCs/>
          <w:color w:val="000000" w:themeColor="text1"/>
          <w:sz w:val="24"/>
          <w:szCs w:val="24"/>
        </w:rPr>
        <w:t xml:space="preserve"> </w:t>
      </w:r>
      <w:r w:rsidR="00006825" w:rsidRPr="00E547F1">
        <w:rPr>
          <w:rFonts w:ascii="Times New Roman" w:hAnsi="Times New Roman" w:cs="Times New Roman"/>
          <w:bCs/>
          <w:color w:val="000000" w:themeColor="text1"/>
          <w:sz w:val="24"/>
          <w:szCs w:val="24"/>
        </w:rPr>
        <w:t xml:space="preserve">Microbial diversity from </w:t>
      </w:r>
      <w:r w:rsidR="0036453F" w:rsidRPr="00E547F1">
        <w:rPr>
          <w:rFonts w:ascii="Times New Roman" w:hAnsi="Times New Roman" w:cs="Times New Roman"/>
          <w:bCs/>
          <w:color w:val="000000" w:themeColor="text1"/>
          <w:sz w:val="24"/>
          <w:szCs w:val="24"/>
        </w:rPr>
        <w:t xml:space="preserve">the rhizosphere of </w:t>
      </w:r>
      <w:r w:rsidR="00006825" w:rsidRPr="00E547F1">
        <w:rPr>
          <w:rFonts w:ascii="Times New Roman" w:hAnsi="Times New Roman" w:cs="Times New Roman"/>
          <w:bCs/>
          <w:color w:val="000000" w:themeColor="text1"/>
          <w:sz w:val="24"/>
          <w:szCs w:val="24"/>
        </w:rPr>
        <w:t xml:space="preserve">wheat, cotton, para grass, </w:t>
      </w:r>
      <w:r w:rsidR="00006825" w:rsidRPr="00E547F1">
        <w:rPr>
          <w:rFonts w:ascii="Times New Roman" w:hAnsi="Times New Roman" w:cs="Times New Roman"/>
          <w:bCs/>
          <w:i/>
          <w:color w:val="000000" w:themeColor="text1"/>
          <w:sz w:val="24"/>
          <w:szCs w:val="24"/>
        </w:rPr>
        <w:t>Salsola stocksii, A</w:t>
      </w:r>
      <w:r w:rsidR="00721488">
        <w:rPr>
          <w:rFonts w:ascii="Times New Roman" w:hAnsi="Times New Roman" w:cs="Times New Roman"/>
          <w:bCs/>
          <w:i/>
          <w:color w:val="000000" w:themeColor="text1"/>
          <w:sz w:val="24"/>
          <w:szCs w:val="24"/>
        </w:rPr>
        <w:t xml:space="preserve">triplex amnicola, </w:t>
      </w:r>
      <w:r w:rsidR="00006825" w:rsidRPr="00E547F1">
        <w:rPr>
          <w:rFonts w:ascii="Times New Roman" w:hAnsi="Times New Roman" w:cs="Times New Roman"/>
          <w:bCs/>
          <w:color w:val="000000" w:themeColor="text1"/>
          <w:sz w:val="24"/>
          <w:szCs w:val="24"/>
        </w:rPr>
        <w:t xml:space="preserve">and </w:t>
      </w:r>
      <w:r w:rsidR="00006825" w:rsidRPr="00E547F1">
        <w:rPr>
          <w:rFonts w:ascii="Times New Roman" w:hAnsi="Times New Roman" w:cs="Times New Roman"/>
          <w:bCs/>
          <w:i/>
          <w:color w:val="000000" w:themeColor="text1"/>
          <w:sz w:val="24"/>
          <w:szCs w:val="24"/>
        </w:rPr>
        <w:t>Capparis decidua</w:t>
      </w:r>
      <w:r w:rsidR="00006825" w:rsidRPr="00E547F1">
        <w:rPr>
          <w:rFonts w:ascii="Times New Roman" w:hAnsi="Times New Roman" w:cs="Times New Roman"/>
          <w:bCs/>
          <w:color w:val="000000" w:themeColor="text1"/>
          <w:sz w:val="24"/>
          <w:szCs w:val="24"/>
        </w:rPr>
        <w:t xml:space="preserve"> </w:t>
      </w:r>
      <w:r w:rsidR="0036453F" w:rsidRPr="00E547F1">
        <w:rPr>
          <w:rFonts w:ascii="Times New Roman" w:hAnsi="Times New Roman" w:cs="Times New Roman"/>
          <w:bCs/>
          <w:color w:val="000000" w:themeColor="text1"/>
          <w:sz w:val="24"/>
          <w:szCs w:val="24"/>
        </w:rPr>
        <w:t>have been studied through culture</w:t>
      </w:r>
      <w:r w:rsidR="0007784B" w:rsidRPr="00E547F1">
        <w:rPr>
          <w:rFonts w:ascii="Times New Roman" w:hAnsi="Times New Roman" w:cs="Times New Roman"/>
          <w:bCs/>
          <w:color w:val="000000" w:themeColor="text1"/>
          <w:sz w:val="24"/>
          <w:szCs w:val="24"/>
        </w:rPr>
        <w:t>-</w:t>
      </w:r>
      <w:r w:rsidR="0036453F" w:rsidRPr="00E547F1">
        <w:rPr>
          <w:rFonts w:ascii="Times New Roman" w:hAnsi="Times New Roman" w:cs="Times New Roman"/>
          <w:bCs/>
          <w:color w:val="000000" w:themeColor="text1"/>
          <w:sz w:val="24"/>
          <w:szCs w:val="24"/>
        </w:rPr>
        <w:t xml:space="preserve">dependent </w:t>
      </w:r>
      <w:r w:rsidR="0083580B">
        <w:rPr>
          <w:rFonts w:ascii="Times New Roman" w:hAnsi="Times New Roman" w:cs="Times New Roman"/>
          <w:bCs/>
          <w:color w:val="000000" w:themeColor="text1"/>
          <w:sz w:val="24"/>
          <w:szCs w:val="24"/>
        </w:rPr>
        <w:t>and</w:t>
      </w:r>
      <w:r w:rsidR="0036453F" w:rsidRPr="00E547F1">
        <w:rPr>
          <w:rFonts w:ascii="Times New Roman" w:hAnsi="Times New Roman" w:cs="Times New Roman"/>
          <w:bCs/>
          <w:color w:val="000000" w:themeColor="text1"/>
          <w:sz w:val="24"/>
          <w:szCs w:val="24"/>
        </w:rPr>
        <w:t xml:space="preserve"> culture-independent approaches. </w:t>
      </w:r>
      <w:r w:rsidR="00721488">
        <w:rPr>
          <w:rFonts w:ascii="Times New Roman" w:hAnsi="Times New Roman" w:cs="Times New Roman"/>
          <w:bCs/>
          <w:color w:val="000000" w:themeColor="text1"/>
          <w:sz w:val="24"/>
          <w:szCs w:val="24"/>
        </w:rPr>
        <w:t>H</w:t>
      </w:r>
      <w:r w:rsidR="00780B13">
        <w:rPr>
          <w:rFonts w:ascii="Times New Roman" w:hAnsi="Times New Roman" w:cs="Times New Roman"/>
          <w:bCs/>
          <w:color w:val="000000" w:themeColor="text1"/>
          <w:sz w:val="24"/>
          <w:szCs w:val="24"/>
        </w:rPr>
        <w:t xml:space="preserve">alophilic plant growth bacteria </w:t>
      </w:r>
      <w:r w:rsidR="00AA0D55">
        <w:rPr>
          <w:rFonts w:ascii="Times New Roman" w:hAnsi="Times New Roman" w:cs="Times New Roman"/>
          <w:bCs/>
          <w:color w:val="000000" w:themeColor="text1"/>
          <w:sz w:val="24"/>
          <w:szCs w:val="24"/>
        </w:rPr>
        <w:t xml:space="preserve">including </w:t>
      </w:r>
      <w:r w:rsidR="00AA0D55" w:rsidRPr="00902ADF">
        <w:rPr>
          <w:rFonts w:ascii="Times New Roman" w:hAnsi="Times New Roman" w:cs="Times New Roman"/>
          <w:bCs/>
          <w:i/>
          <w:color w:val="000000" w:themeColor="text1"/>
          <w:sz w:val="24"/>
          <w:szCs w:val="24"/>
        </w:rPr>
        <w:t xml:space="preserve">Bacillus, </w:t>
      </w:r>
      <w:r w:rsidR="00902ADF" w:rsidRPr="00902ADF">
        <w:rPr>
          <w:rFonts w:ascii="Times New Roman" w:hAnsi="Times New Roman" w:cs="Times New Roman"/>
          <w:bCs/>
          <w:i/>
          <w:color w:val="000000" w:themeColor="text1"/>
          <w:sz w:val="24"/>
          <w:szCs w:val="24"/>
        </w:rPr>
        <w:t>Halobacillus, Pseudomonas,</w:t>
      </w:r>
      <w:r w:rsidR="00902ADF" w:rsidRPr="00AA0D55">
        <w:rPr>
          <w:rFonts w:ascii="Times New Roman" w:hAnsi="Times New Roman" w:cs="Times New Roman"/>
          <w:bCs/>
          <w:color w:val="000000" w:themeColor="text1"/>
          <w:sz w:val="24"/>
          <w:szCs w:val="24"/>
        </w:rPr>
        <w:t xml:space="preserve"> and </w:t>
      </w:r>
      <w:r w:rsidR="00321A1F" w:rsidRPr="00902ADF">
        <w:rPr>
          <w:rFonts w:ascii="Times New Roman" w:hAnsi="Times New Roman" w:cs="Times New Roman"/>
          <w:bCs/>
          <w:i/>
          <w:color w:val="000000" w:themeColor="text1"/>
          <w:sz w:val="24"/>
          <w:szCs w:val="24"/>
        </w:rPr>
        <w:t>Halomonas</w:t>
      </w:r>
      <w:r w:rsidR="00AA0D55" w:rsidRPr="00AA0D55">
        <w:rPr>
          <w:rFonts w:ascii="Times New Roman" w:hAnsi="Times New Roman" w:cs="Times New Roman"/>
          <w:bCs/>
          <w:color w:val="000000" w:themeColor="text1"/>
          <w:sz w:val="24"/>
          <w:szCs w:val="24"/>
        </w:rPr>
        <w:t xml:space="preserve"> have been </w:t>
      </w:r>
      <w:r w:rsidR="00902ADF">
        <w:rPr>
          <w:rFonts w:ascii="Times New Roman" w:hAnsi="Times New Roman" w:cs="Times New Roman"/>
          <w:bCs/>
          <w:color w:val="000000" w:themeColor="text1"/>
          <w:sz w:val="24"/>
          <w:szCs w:val="24"/>
        </w:rPr>
        <w:t>studied</w:t>
      </w:r>
      <w:r w:rsidR="00AA0D55" w:rsidRPr="00AA0D55">
        <w:rPr>
          <w:rFonts w:ascii="Times New Roman" w:hAnsi="Times New Roman" w:cs="Times New Roman"/>
          <w:bCs/>
          <w:color w:val="000000" w:themeColor="text1"/>
          <w:sz w:val="24"/>
          <w:szCs w:val="24"/>
        </w:rPr>
        <w:t xml:space="preserve"> as biofertilizer</w:t>
      </w:r>
      <w:r w:rsidR="00902ADF">
        <w:rPr>
          <w:rFonts w:ascii="Times New Roman" w:hAnsi="Times New Roman" w:cs="Times New Roman"/>
          <w:bCs/>
          <w:color w:val="000000" w:themeColor="text1"/>
          <w:sz w:val="24"/>
          <w:szCs w:val="24"/>
        </w:rPr>
        <w:t>s</w:t>
      </w:r>
      <w:r w:rsidR="00AA0D55" w:rsidRPr="00AA0D55">
        <w:rPr>
          <w:rFonts w:ascii="Times New Roman" w:hAnsi="Times New Roman" w:cs="Times New Roman"/>
          <w:bCs/>
          <w:color w:val="000000" w:themeColor="text1"/>
          <w:sz w:val="24"/>
          <w:szCs w:val="24"/>
        </w:rPr>
        <w:t>.</w:t>
      </w:r>
      <w:r w:rsidR="00902ADF">
        <w:rPr>
          <w:rFonts w:ascii="Times New Roman" w:hAnsi="Times New Roman" w:cs="Times New Roman"/>
          <w:bCs/>
          <w:color w:val="000000" w:themeColor="text1"/>
          <w:sz w:val="24"/>
          <w:szCs w:val="24"/>
        </w:rPr>
        <w:t xml:space="preserve"> </w:t>
      </w:r>
      <w:r w:rsidR="00780B13">
        <w:rPr>
          <w:rFonts w:ascii="Times New Roman" w:hAnsi="Times New Roman" w:cs="Times New Roman"/>
          <w:bCs/>
          <w:color w:val="000000" w:themeColor="text1"/>
          <w:sz w:val="24"/>
          <w:szCs w:val="24"/>
        </w:rPr>
        <w:t>B</w:t>
      </w:r>
      <w:r w:rsidR="00B379EA" w:rsidRPr="00E547F1">
        <w:rPr>
          <w:rFonts w:ascii="Times New Roman" w:hAnsi="Times New Roman" w:cs="Times New Roman"/>
          <w:bCs/>
          <w:color w:val="000000" w:themeColor="text1"/>
          <w:sz w:val="24"/>
          <w:szCs w:val="24"/>
        </w:rPr>
        <w:t>ioformulations</w:t>
      </w:r>
      <w:r w:rsidR="00780B13">
        <w:rPr>
          <w:rFonts w:ascii="Times New Roman" w:hAnsi="Times New Roman" w:cs="Times New Roman"/>
          <w:bCs/>
          <w:color w:val="000000" w:themeColor="text1"/>
          <w:sz w:val="24"/>
          <w:szCs w:val="24"/>
        </w:rPr>
        <w:t xml:space="preserve"> have been developed</w:t>
      </w:r>
      <w:r w:rsidR="00B379EA" w:rsidRPr="00E547F1">
        <w:rPr>
          <w:rFonts w:ascii="Times New Roman" w:hAnsi="Times New Roman" w:cs="Times New Roman"/>
          <w:bCs/>
          <w:color w:val="000000" w:themeColor="text1"/>
          <w:sz w:val="24"/>
          <w:szCs w:val="24"/>
        </w:rPr>
        <w:t xml:space="preserve"> by us</w:t>
      </w:r>
      <w:r w:rsidR="008B2EBD">
        <w:rPr>
          <w:rFonts w:ascii="Times New Roman" w:hAnsi="Times New Roman" w:cs="Times New Roman"/>
          <w:bCs/>
          <w:color w:val="000000" w:themeColor="text1"/>
          <w:sz w:val="24"/>
          <w:szCs w:val="24"/>
        </w:rPr>
        <w:t xml:space="preserve">ing different carrier materials </w:t>
      </w:r>
      <w:r w:rsidR="00D13D0C">
        <w:rPr>
          <w:rFonts w:ascii="Times New Roman" w:hAnsi="Times New Roman" w:cs="Times New Roman"/>
          <w:bCs/>
          <w:color w:val="000000" w:themeColor="text1"/>
          <w:sz w:val="24"/>
          <w:szCs w:val="24"/>
        </w:rPr>
        <w:t>with halophilic PGPR strains had</w:t>
      </w:r>
      <w:r w:rsidR="00B379EA" w:rsidRPr="00E547F1">
        <w:rPr>
          <w:rFonts w:ascii="Times New Roman" w:hAnsi="Times New Roman" w:cs="Times New Roman"/>
          <w:bCs/>
          <w:color w:val="000000" w:themeColor="text1"/>
          <w:sz w:val="24"/>
          <w:szCs w:val="24"/>
        </w:rPr>
        <w:t xml:space="preserve"> </w:t>
      </w:r>
      <w:r w:rsidR="008B2EBD">
        <w:rPr>
          <w:rFonts w:ascii="Times New Roman" w:hAnsi="Times New Roman" w:cs="Times New Roman"/>
          <w:bCs/>
          <w:color w:val="000000" w:themeColor="text1"/>
          <w:sz w:val="24"/>
          <w:szCs w:val="24"/>
        </w:rPr>
        <w:t>ability to promote plant growth.</w:t>
      </w:r>
    </w:p>
    <w:p w14:paraId="1302BAE2" w14:textId="77777777" w:rsidR="00271C94" w:rsidRPr="00E547F1" w:rsidRDefault="00271C94" w:rsidP="00712E3D">
      <w:pPr>
        <w:spacing w:after="0" w:line="276" w:lineRule="auto"/>
        <w:jc w:val="both"/>
        <w:rPr>
          <w:rFonts w:ascii="Times New Roman" w:hAnsi="Times New Roman" w:cs="Times New Roman"/>
          <w:bCs/>
          <w:color w:val="000000" w:themeColor="text1"/>
          <w:sz w:val="24"/>
          <w:szCs w:val="24"/>
        </w:rPr>
      </w:pPr>
      <w:r w:rsidRPr="00E547F1">
        <w:rPr>
          <w:rFonts w:ascii="Times New Roman" w:hAnsi="Times New Roman" w:cs="Times New Roman"/>
          <w:bCs/>
          <w:color w:val="000000" w:themeColor="text1"/>
          <w:sz w:val="24"/>
          <w:szCs w:val="24"/>
        </w:rPr>
        <w:t xml:space="preserve">A brief overview of studies conducted in our labs related to development of </w:t>
      </w:r>
      <w:r w:rsidR="00A9651D" w:rsidRPr="00E547F1">
        <w:rPr>
          <w:rFonts w:ascii="Times New Roman" w:hAnsi="Times New Roman" w:cs="Times New Roman"/>
          <w:bCs/>
          <w:color w:val="000000" w:themeColor="text1"/>
          <w:sz w:val="24"/>
          <w:szCs w:val="24"/>
        </w:rPr>
        <w:t xml:space="preserve">biofortified, herbicide resistant </w:t>
      </w:r>
      <w:r w:rsidRPr="00E547F1">
        <w:rPr>
          <w:rFonts w:ascii="Times New Roman" w:hAnsi="Times New Roman" w:cs="Times New Roman"/>
          <w:bCs/>
          <w:color w:val="000000" w:themeColor="text1"/>
          <w:sz w:val="24"/>
          <w:szCs w:val="24"/>
        </w:rPr>
        <w:t>transgenic crops</w:t>
      </w:r>
      <w:r w:rsidR="00A9651D" w:rsidRPr="00E547F1">
        <w:rPr>
          <w:rFonts w:ascii="Times New Roman" w:hAnsi="Times New Roman" w:cs="Times New Roman"/>
          <w:bCs/>
          <w:color w:val="000000" w:themeColor="text1"/>
          <w:sz w:val="24"/>
          <w:szCs w:val="24"/>
        </w:rPr>
        <w:t>, development of transgenic</w:t>
      </w:r>
      <w:r w:rsidR="00A9651D" w:rsidRPr="00E547F1">
        <w:rPr>
          <w:rFonts w:ascii="Times New Roman" w:hAnsi="Times New Roman" w:cs="Times New Roman"/>
          <w:bCs/>
          <w:i/>
          <w:color w:val="000000" w:themeColor="text1"/>
          <w:sz w:val="24"/>
          <w:szCs w:val="24"/>
        </w:rPr>
        <w:t xml:space="preserve"> Eucalyptus camaldulensis</w:t>
      </w:r>
      <w:r w:rsidR="00A9651D" w:rsidRPr="00E547F1">
        <w:rPr>
          <w:rFonts w:ascii="Times New Roman" w:hAnsi="Times New Roman" w:cs="Times New Roman"/>
          <w:bCs/>
          <w:color w:val="000000" w:themeColor="text1"/>
          <w:sz w:val="24"/>
          <w:szCs w:val="24"/>
        </w:rPr>
        <w:t xml:space="preserve"> lines with low lignin</w:t>
      </w:r>
      <w:r w:rsidR="00664E9F" w:rsidRPr="00E547F1">
        <w:rPr>
          <w:rFonts w:ascii="Times New Roman" w:hAnsi="Times New Roman" w:cs="Times New Roman"/>
          <w:bCs/>
          <w:color w:val="000000" w:themeColor="text1"/>
          <w:sz w:val="24"/>
          <w:szCs w:val="24"/>
        </w:rPr>
        <w:t>,</w:t>
      </w:r>
      <w:r w:rsidRPr="00E547F1">
        <w:rPr>
          <w:rFonts w:ascii="Times New Roman" w:hAnsi="Times New Roman" w:cs="Times New Roman"/>
          <w:bCs/>
          <w:color w:val="000000" w:themeColor="text1"/>
          <w:sz w:val="24"/>
          <w:szCs w:val="24"/>
        </w:rPr>
        <w:t xml:space="preserve"> plant microbiome analysis</w:t>
      </w:r>
      <w:r w:rsidR="00A9651D" w:rsidRPr="00E547F1">
        <w:rPr>
          <w:rFonts w:ascii="Times New Roman" w:hAnsi="Times New Roman" w:cs="Times New Roman"/>
          <w:bCs/>
          <w:color w:val="000000" w:themeColor="text1"/>
          <w:sz w:val="24"/>
          <w:szCs w:val="24"/>
        </w:rPr>
        <w:t xml:space="preserve"> </w:t>
      </w:r>
      <w:r w:rsidR="00664E9F" w:rsidRPr="00E547F1">
        <w:rPr>
          <w:rFonts w:ascii="Times New Roman" w:hAnsi="Times New Roman" w:cs="Times New Roman"/>
          <w:bCs/>
          <w:color w:val="000000" w:themeColor="text1"/>
          <w:sz w:val="24"/>
          <w:szCs w:val="24"/>
        </w:rPr>
        <w:t xml:space="preserve">and development of bacterial bioformulations with different carrier materials will be presented.  </w:t>
      </w:r>
    </w:p>
    <w:p w14:paraId="6AC8217A" w14:textId="77777777" w:rsidR="00656FBB" w:rsidRDefault="00656FBB" w:rsidP="00712E3D">
      <w:pPr>
        <w:spacing w:after="0" w:line="276" w:lineRule="auto"/>
        <w:rPr>
          <w:color w:val="000000" w:themeColor="text1"/>
        </w:rPr>
      </w:pPr>
    </w:p>
    <w:p w14:paraId="1AB93A10" w14:textId="77777777" w:rsidR="00D13D0C" w:rsidRDefault="00D13D0C" w:rsidP="00712E3D">
      <w:pPr>
        <w:spacing w:after="0" w:line="276" w:lineRule="auto"/>
        <w:rPr>
          <w:rFonts w:ascii="Times New Roman" w:hAnsi="Times New Roman" w:cs="Times New Roman"/>
          <w:b/>
          <w:color w:val="000000" w:themeColor="text1"/>
          <w:sz w:val="24"/>
          <w:szCs w:val="24"/>
        </w:rPr>
      </w:pPr>
      <w:r w:rsidRPr="00D13D0C">
        <w:rPr>
          <w:rFonts w:ascii="Times New Roman" w:hAnsi="Times New Roman" w:cs="Times New Roman"/>
          <w:b/>
          <w:color w:val="000000" w:themeColor="text1"/>
          <w:sz w:val="24"/>
          <w:szCs w:val="24"/>
        </w:rPr>
        <w:t>References</w:t>
      </w:r>
    </w:p>
    <w:p w14:paraId="4EF52B4A" w14:textId="77777777" w:rsidR="00C13ED9" w:rsidRPr="001439DD" w:rsidRDefault="00C13ED9" w:rsidP="00CB7511">
      <w:pPr>
        <w:pStyle w:val="ListParagraph"/>
        <w:numPr>
          <w:ilvl w:val="0"/>
          <w:numId w:val="1"/>
        </w:numPr>
        <w:tabs>
          <w:tab w:val="left" w:pos="384"/>
        </w:tabs>
        <w:spacing w:line="276" w:lineRule="auto"/>
        <w:ind w:right="138"/>
        <w:rPr>
          <w:rFonts w:ascii="Times New Roman" w:hAnsi="Times New Roman" w:cs="Times New Roman"/>
          <w:sz w:val="24"/>
          <w:szCs w:val="24"/>
        </w:rPr>
      </w:pPr>
      <w:r w:rsidRPr="001439DD">
        <w:rPr>
          <w:rFonts w:ascii="Times New Roman" w:hAnsi="Times New Roman" w:cs="Times New Roman"/>
          <w:sz w:val="24"/>
          <w:szCs w:val="24"/>
        </w:rPr>
        <w:t>Abid</w:t>
      </w:r>
      <w:r w:rsidR="001B5DAF" w:rsidRPr="001439DD">
        <w:rPr>
          <w:rFonts w:ascii="Times New Roman" w:hAnsi="Times New Roman" w:cs="Times New Roman"/>
          <w:sz w:val="24"/>
          <w:szCs w:val="24"/>
        </w:rPr>
        <w:t xml:space="preserve"> N, </w:t>
      </w:r>
      <w:r w:rsidRPr="001439DD">
        <w:rPr>
          <w:rFonts w:ascii="Times New Roman" w:hAnsi="Times New Roman" w:cs="Times New Roman"/>
          <w:sz w:val="24"/>
          <w:szCs w:val="24"/>
        </w:rPr>
        <w:t>Khatoon</w:t>
      </w:r>
      <w:r w:rsidR="001B5DAF" w:rsidRPr="001439DD">
        <w:rPr>
          <w:rFonts w:ascii="Times New Roman" w:hAnsi="Times New Roman" w:cs="Times New Roman"/>
          <w:sz w:val="24"/>
          <w:szCs w:val="24"/>
        </w:rPr>
        <w:t xml:space="preserve"> A, </w:t>
      </w:r>
      <w:r w:rsidRPr="001439DD">
        <w:rPr>
          <w:rFonts w:ascii="Times New Roman" w:hAnsi="Times New Roman" w:cs="Times New Roman"/>
          <w:sz w:val="24"/>
          <w:szCs w:val="24"/>
        </w:rPr>
        <w:t>Maqbool</w:t>
      </w:r>
      <w:r w:rsidR="001B5DAF" w:rsidRPr="001439DD">
        <w:rPr>
          <w:rFonts w:ascii="Times New Roman" w:hAnsi="Times New Roman" w:cs="Times New Roman"/>
          <w:sz w:val="24"/>
          <w:szCs w:val="24"/>
        </w:rPr>
        <w:t xml:space="preserve"> A, </w:t>
      </w:r>
      <w:r w:rsidRPr="001439DD">
        <w:rPr>
          <w:rFonts w:ascii="Times New Roman" w:hAnsi="Times New Roman" w:cs="Times New Roman"/>
          <w:sz w:val="24"/>
          <w:szCs w:val="24"/>
        </w:rPr>
        <w:t>Irfan</w:t>
      </w:r>
      <w:r w:rsidR="001B5DAF" w:rsidRPr="001439DD">
        <w:rPr>
          <w:rFonts w:ascii="Times New Roman" w:hAnsi="Times New Roman" w:cs="Times New Roman"/>
          <w:sz w:val="24"/>
          <w:szCs w:val="24"/>
        </w:rPr>
        <w:t xml:space="preserve"> M, </w:t>
      </w:r>
      <w:r w:rsidRPr="001439DD">
        <w:rPr>
          <w:rFonts w:ascii="Times New Roman" w:hAnsi="Times New Roman" w:cs="Times New Roman"/>
          <w:sz w:val="24"/>
          <w:szCs w:val="24"/>
        </w:rPr>
        <w:t>Bashir</w:t>
      </w:r>
      <w:r w:rsidR="001B5DAF" w:rsidRPr="001439DD">
        <w:rPr>
          <w:rFonts w:ascii="Times New Roman" w:hAnsi="Times New Roman" w:cs="Times New Roman"/>
          <w:sz w:val="24"/>
          <w:szCs w:val="24"/>
        </w:rPr>
        <w:t xml:space="preserve"> A, </w:t>
      </w:r>
      <w:r w:rsidRPr="001439DD">
        <w:rPr>
          <w:rFonts w:ascii="Times New Roman" w:hAnsi="Times New Roman" w:cs="Times New Roman"/>
          <w:sz w:val="24"/>
          <w:szCs w:val="24"/>
        </w:rPr>
        <w:t>Asif</w:t>
      </w:r>
      <w:r w:rsidR="001B5DAF" w:rsidRPr="001439DD">
        <w:rPr>
          <w:rFonts w:ascii="Times New Roman" w:hAnsi="Times New Roman" w:cs="Times New Roman"/>
          <w:sz w:val="24"/>
          <w:szCs w:val="24"/>
        </w:rPr>
        <w:t xml:space="preserve"> I, </w:t>
      </w:r>
      <w:r w:rsidRPr="001439DD">
        <w:rPr>
          <w:rFonts w:ascii="Times New Roman" w:hAnsi="Times New Roman" w:cs="Times New Roman"/>
          <w:sz w:val="24"/>
          <w:szCs w:val="24"/>
        </w:rPr>
        <w:t>Shahid</w:t>
      </w:r>
      <w:r w:rsidR="001B5DAF" w:rsidRPr="001439DD">
        <w:rPr>
          <w:rFonts w:ascii="Times New Roman" w:hAnsi="Times New Roman" w:cs="Times New Roman"/>
          <w:sz w:val="24"/>
          <w:szCs w:val="24"/>
        </w:rPr>
        <w:t xml:space="preserve"> M,</w:t>
      </w:r>
      <w:r w:rsidRPr="001439DD">
        <w:rPr>
          <w:rFonts w:ascii="Times New Roman" w:hAnsi="Times New Roman" w:cs="Times New Roman"/>
          <w:sz w:val="24"/>
          <w:szCs w:val="24"/>
        </w:rPr>
        <w:t xml:space="preserve"> </w:t>
      </w:r>
      <w:r w:rsidR="009D747C" w:rsidRPr="001439DD">
        <w:rPr>
          <w:rFonts w:ascii="Times New Roman" w:hAnsi="Times New Roman" w:cs="Times New Roman"/>
          <w:sz w:val="24"/>
          <w:szCs w:val="24"/>
        </w:rPr>
        <w:t xml:space="preserve">Saeed A, Brinch-Pedersen H, </w:t>
      </w:r>
      <w:r w:rsidRPr="001439DD">
        <w:rPr>
          <w:rFonts w:ascii="Times New Roman" w:hAnsi="Times New Roman" w:cs="Times New Roman"/>
          <w:color w:val="000000" w:themeColor="text1"/>
          <w:sz w:val="24"/>
          <w:szCs w:val="24"/>
        </w:rPr>
        <w:t xml:space="preserve">Malik KA </w:t>
      </w:r>
      <w:r w:rsidRPr="001439DD">
        <w:rPr>
          <w:rFonts w:ascii="Times New Roman" w:hAnsi="Times New Roman" w:cs="Times New Roman"/>
          <w:sz w:val="24"/>
          <w:szCs w:val="24"/>
        </w:rPr>
        <w:t>(2017) Transgenic expression of phytase in wheat endosperm increases bioavailability of iron and zinc in grains. Trans Res 26:109-122.</w:t>
      </w:r>
    </w:p>
    <w:p w14:paraId="2E8A878E" w14:textId="77777777" w:rsidR="00AC54F7" w:rsidRPr="001439DD" w:rsidRDefault="00363D89" w:rsidP="00CB7511">
      <w:pPr>
        <w:pStyle w:val="ListParagraph"/>
        <w:numPr>
          <w:ilvl w:val="0"/>
          <w:numId w:val="1"/>
        </w:numPr>
        <w:spacing w:line="276" w:lineRule="auto"/>
        <w:rPr>
          <w:rFonts w:ascii="Times New Roman" w:hAnsi="Times New Roman" w:cs="Times New Roman"/>
          <w:color w:val="000000" w:themeColor="text1"/>
          <w:sz w:val="24"/>
          <w:szCs w:val="24"/>
        </w:rPr>
      </w:pPr>
      <w:r w:rsidRPr="001439DD">
        <w:rPr>
          <w:rFonts w:ascii="Times New Roman" w:hAnsi="Times New Roman" w:cs="Times New Roman"/>
          <w:color w:val="000000" w:themeColor="text1"/>
          <w:sz w:val="24"/>
          <w:szCs w:val="24"/>
        </w:rPr>
        <w:lastRenderedPageBreak/>
        <w:t xml:space="preserve">Hasnain A, Irfan M, Bashir A, Maqbool A, Malik KA (2020) </w:t>
      </w:r>
      <w:r w:rsidR="00E0510F" w:rsidRPr="001439DD">
        <w:rPr>
          <w:rFonts w:ascii="Times New Roman" w:hAnsi="Times New Roman" w:cs="Times New Roman"/>
          <w:color w:val="000000" w:themeColor="text1"/>
          <w:sz w:val="24"/>
          <w:szCs w:val="24"/>
        </w:rPr>
        <w:t>Transcription Factor TaDof1 Improves Nitrogen and Carbon Assimilation Under Low-Nitrogen Conditions in Wheat</w:t>
      </w:r>
      <w:r w:rsidRPr="001439DD">
        <w:rPr>
          <w:rFonts w:ascii="Times New Roman" w:hAnsi="Times New Roman" w:cs="Times New Roman"/>
          <w:color w:val="000000" w:themeColor="text1"/>
          <w:sz w:val="24"/>
          <w:szCs w:val="24"/>
        </w:rPr>
        <w:t>.</w:t>
      </w:r>
      <w:r w:rsidR="00491CE2" w:rsidRPr="001439DD">
        <w:rPr>
          <w:rFonts w:ascii="Times New Roman" w:hAnsi="Times New Roman" w:cs="Times New Roman"/>
          <w:sz w:val="24"/>
          <w:szCs w:val="24"/>
        </w:rPr>
        <w:t xml:space="preserve"> </w:t>
      </w:r>
      <w:r w:rsidR="00491CE2" w:rsidRPr="001439DD">
        <w:rPr>
          <w:rFonts w:ascii="Times New Roman" w:hAnsi="Times New Roman" w:cs="Times New Roman"/>
          <w:color w:val="000000" w:themeColor="text1"/>
          <w:sz w:val="24"/>
          <w:szCs w:val="24"/>
        </w:rPr>
        <w:t>Plant Mol Biol Rep 38:441-451.</w:t>
      </w:r>
    </w:p>
    <w:p w14:paraId="137F2BFA" w14:textId="77777777" w:rsidR="00491CE2" w:rsidRPr="001439DD" w:rsidRDefault="00C744CD" w:rsidP="00CB7511">
      <w:pPr>
        <w:pStyle w:val="ListParagraph"/>
        <w:numPr>
          <w:ilvl w:val="0"/>
          <w:numId w:val="1"/>
        </w:numPr>
        <w:spacing w:line="276" w:lineRule="auto"/>
        <w:rPr>
          <w:rFonts w:ascii="Times New Roman" w:hAnsi="Times New Roman" w:cs="Times New Roman"/>
          <w:color w:val="000000" w:themeColor="text1"/>
          <w:sz w:val="24"/>
          <w:szCs w:val="24"/>
        </w:rPr>
      </w:pPr>
      <w:r w:rsidRPr="001439DD">
        <w:rPr>
          <w:rFonts w:ascii="Times New Roman" w:hAnsi="Times New Roman" w:cs="Times New Roman"/>
          <w:color w:val="000000" w:themeColor="text1"/>
          <w:sz w:val="24"/>
          <w:szCs w:val="24"/>
        </w:rPr>
        <w:t xml:space="preserve">Ahad A, John E, Maqbool A, Malik KA (2018) </w:t>
      </w:r>
      <w:r w:rsidR="00491CE2" w:rsidRPr="001439DD">
        <w:rPr>
          <w:rFonts w:ascii="Times New Roman" w:hAnsi="Times New Roman" w:cs="Times New Roman"/>
          <w:color w:val="000000" w:themeColor="text1"/>
          <w:sz w:val="24"/>
          <w:szCs w:val="24"/>
        </w:rPr>
        <w:t>Development of efficient micropropagation system for E. Camaldulensis with respect to age of explants</w:t>
      </w:r>
      <w:r w:rsidRPr="001439DD">
        <w:rPr>
          <w:rFonts w:ascii="Times New Roman" w:hAnsi="Times New Roman" w:cs="Times New Roman"/>
          <w:color w:val="000000" w:themeColor="text1"/>
          <w:sz w:val="24"/>
          <w:szCs w:val="24"/>
        </w:rPr>
        <w:t>.</w:t>
      </w:r>
      <w:r w:rsidRPr="001439DD">
        <w:rPr>
          <w:rFonts w:ascii="Times New Roman" w:hAnsi="Times New Roman" w:cs="Times New Roman"/>
          <w:sz w:val="24"/>
          <w:szCs w:val="24"/>
        </w:rPr>
        <w:t xml:space="preserve"> </w:t>
      </w:r>
      <w:r w:rsidRPr="001439DD">
        <w:rPr>
          <w:rFonts w:ascii="Times New Roman" w:hAnsi="Times New Roman" w:cs="Times New Roman"/>
          <w:color w:val="000000" w:themeColor="text1"/>
          <w:sz w:val="24"/>
          <w:szCs w:val="24"/>
        </w:rPr>
        <w:t>Pak J Agric Sci 55:23-27.</w:t>
      </w:r>
    </w:p>
    <w:p w14:paraId="10C6E40C" w14:textId="77777777" w:rsidR="002867D1" w:rsidRPr="001439DD" w:rsidRDefault="001A411F" w:rsidP="00CB7511">
      <w:pPr>
        <w:pStyle w:val="ListParagraph"/>
        <w:numPr>
          <w:ilvl w:val="0"/>
          <w:numId w:val="1"/>
        </w:numPr>
        <w:spacing w:line="276" w:lineRule="auto"/>
        <w:rPr>
          <w:rFonts w:ascii="Times New Roman" w:hAnsi="Times New Roman" w:cs="Times New Roman"/>
          <w:color w:val="000000" w:themeColor="text1"/>
          <w:sz w:val="24"/>
          <w:szCs w:val="24"/>
        </w:rPr>
      </w:pPr>
      <w:r w:rsidRPr="001439DD">
        <w:rPr>
          <w:rFonts w:ascii="Times New Roman" w:hAnsi="Times New Roman" w:cs="Times New Roman"/>
          <w:color w:val="000000" w:themeColor="text1"/>
          <w:sz w:val="24"/>
          <w:szCs w:val="24"/>
        </w:rPr>
        <w:t xml:space="preserve">Mukhtar S, Mehnaz S, Malik KA (2021) Comparative study of the rhizosphere and root endosphere microbiomes of Cholistan desert plants. Front. Microbiol. </w:t>
      </w:r>
      <w:proofErr w:type="spellStart"/>
      <w:r w:rsidRPr="001439DD">
        <w:rPr>
          <w:rFonts w:ascii="Times New Roman" w:hAnsi="Times New Roman" w:cs="Times New Roman"/>
          <w:color w:val="000000" w:themeColor="text1"/>
          <w:sz w:val="24"/>
          <w:szCs w:val="24"/>
        </w:rPr>
        <w:t>doi</w:t>
      </w:r>
      <w:proofErr w:type="spellEnd"/>
      <w:r w:rsidRPr="001439DD">
        <w:rPr>
          <w:rFonts w:ascii="Times New Roman" w:hAnsi="Times New Roman" w:cs="Times New Roman"/>
          <w:color w:val="000000" w:themeColor="text1"/>
          <w:sz w:val="24"/>
          <w:szCs w:val="24"/>
        </w:rPr>
        <w:t>: 10.3389/fmicb.2021.61874</w:t>
      </w:r>
    </w:p>
    <w:p w14:paraId="39276C1D" w14:textId="77777777" w:rsidR="001A411F" w:rsidRPr="001439DD" w:rsidRDefault="001A411F" w:rsidP="00CB7511">
      <w:pPr>
        <w:pStyle w:val="ListParagraph"/>
        <w:numPr>
          <w:ilvl w:val="0"/>
          <w:numId w:val="1"/>
        </w:numPr>
        <w:spacing w:line="276" w:lineRule="auto"/>
        <w:rPr>
          <w:rFonts w:ascii="Times New Roman" w:hAnsi="Times New Roman" w:cs="Times New Roman"/>
          <w:color w:val="000000" w:themeColor="text1"/>
          <w:sz w:val="24"/>
          <w:szCs w:val="24"/>
        </w:rPr>
      </w:pPr>
      <w:r w:rsidRPr="001439DD">
        <w:rPr>
          <w:rFonts w:ascii="Times New Roman" w:hAnsi="Times New Roman" w:cs="Times New Roman"/>
          <w:color w:val="000000" w:themeColor="text1"/>
          <w:sz w:val="24"/>
          <w:szCs w:val="24"/>
        </w:rPr>
        <w:t>Mukhtar S, Zareen M, Khaliq Z, Mehnaz S, Malik KA (2020) Phylogenetic analysis of halophyte‐associated rhizobacteria and effect of halotolerant and halophilic phosphate‐solubilizing biofertilizers on maize growth under salinity stress conditions. Appl Microbiol 128:556-573</w:t>
      </w:r>
      <w:r w:rsidR="00AC54F7" w:rsidRPr="001439DD">
        <w:rPr>
          <w:rFonts w:ascii="Times New Roman" w:hAnsi="Times New Roman" w:cs="Times New Roman"/>
          <w:color w:val="000000" w:themeColor="text1"/>
          <w:sz w:val="24"/>
          <w:szCs w:val="24"/>
        </w:rPr>
        <w:t>.</w:t>
      </w:r>
    </w:p>
    <w:p w14:paraId="386B6083" w14:textId="77777777" w:rsidR="001A411F" w:rsidRPr="001A411F" w:rsidRDefault="00AC54F7" w:rsidP="00CB7511">
      <w:pPr>
        <w:pStyle w:val="ListParagraph"/>
        <w:numPr>
          <w:ilvl w:val="0"/>
          <w:numId w:val="1"/>
        </w:numPr>
        <w:spacing w:line="276" w:lineRule="auto"/>
        <w:rPr>
          <w:rFonts w:ascii="Times New Roman" w:hAnsi="Times New Roman" w:cs="Times New Roman"/>
          <w:color w:val="000000" w:themeColor="text1"/>
          <w:sz w:val="24"/>
          <w:szCs w:val="24"/>
        </w:rPr>
      </w:pPr>
      <w:r w:rsidRPr="001439DD">
        <w:rPr>
          <w:rFonts w:ascii="Times New Roman" w:hAnsi="Times New Roman" w:cs="Times New Roman"/>
          <w:color w:val="000000" w:themeColor="text1"/>
          <w:sz w:val="24"/>
          <w:szCs w:val="24"/>
        </w:rPr>
        <w:t>Mukhtar S, Shahid I, Mehnaz S, Malik KA (2017) Assessment of two carrier materials for phosphate solubilizing biofertilizers and their effect on growth of wheat (</w:t>
      </w:r>
      <w:r w:rsidRPr="001439DD">
        <w:rPr>
          <w:rFonts w:ascii="Times New Roman" w:hAnsi="Times New Roman" w:cs="Times New Roman"/>
          <w:i/>
          <w:color w:val="000000" w:themeColor="text1"/>
          <w:sz w:val="24"/>
          <w:szCs w:val="24"/>
        </w:rPr>
        <w:t>Triticum aestivum</w:t>
      </w:r>
      <w:r w:rsidRPr="001439DD">
        <w:rPr>
          <w:rFonts w:ascii="Times New Roman" w:hAnsi="Times New Roman" w:cs="Times New Roman"/>
          <w:color w:val="000000" w:themeColor="text1"/>
          <w:sz w:val="24"/>
          <w:szCs w:val="24"/>
        </w:rPr>
        <w:t>). Microbiol Res 205:107-117.</w:t>
      </w:r>
    </w:p>
    <w:p w14:paraId="0A62627A" w14:textId="77777777" w:rsidR="002867D1" w:rsidRPr="00D13D0C" w:rsidRDefault="002867D1" w:rsidP="00712E3D">
      <w:pPr>
        <w:spacing w:after="0" w:line="276" w:lineRule="auto"/>
        <w:rPr>
          <w:rFonts w:ascii="Times New Roman" w:hAnsi="Times New Roman" w:cs="Times New Roman"/>
          <w:b/>
          <w:color w:val="000000" w:themeColor="text1"/>
          <w:sz w:val="24"/>
          <w:szCs w:val="24"/>
        </w:rPr>
      </w:pPr>
    </w:p>
    <w:sectPr w:rsidR="002867D1" w:rsidRPr="00D13D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21C614B4"/>
    <w:lvl w:ilvl="0" w:tplc="87CAEB9E">
      <w:start w:val="1"/>
      <w:numFmt w:val="decimal"/>
      <w:lvlText w:val="%1."/>
      <w:lvlJc w:val="left"/>
      <w:pPr>
        <w:ind w:left="383" w:hanging="284"/>
      </w:pPr>
      <w:rPr>
        <w:rFonts w:ascii="Times New Roman" w:eastAsia="Calibri" w:hAnsi="Times New Roman" w:cs="Times New Roman" w:hint="default"/>
        <w:spacing w:val="-16"/>
        <w:w w:val="100"/>
        <w:sz w:val="24"/>
        <w:szCs w:val="24"/>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F6E"/>
    <w:rsid w:val="00006825"/>
    <w:rsid w:val="00063F6E"/>
    <w:rsid w:val="0007784B"/>
    <w:rsid w:val="000C7C7F"/>
    <w:rsid w:val="000F1871"/>
    <w:rsid w:val="00102221"/>
    <w:rsid w:val="001439DD"/>
    <w:rsid w:val="00165C8C"/>
    <w:rsid w:val="001A411F"/>
    <w:rsid w:val="001B5DAF"/>
    <w:rsid w:val="001D2BBD"/>
    <w:rsid w:val="001F02CD"/>
    <w:rsid w:val="00266C12"/>
    <w:rsid w:val="00271C94"/>
    <w:rsid w:val="002867D1"/>
    <w:rsid w:val="002D23DE"/>
    <w:rsid w:val="002E72A5"/>
    <w:rsid w:val="00317742"/>
    <w:rsid w:val="00321A1F"/>
    <w:rsid w:val="00326573"/>
    <w:rsid w:val="00350EB2"/>
    <w:rsid w:val="00363D89"/>
    <w:rsid w:val="0036453F"/>
    <w:rsid w:val="003869E1"/>
    <w:rsid w:val="00393717"/>
    <w:rsid w:val="003F4155"/>
    <w:rsid w:val="003F609A"/>
    <w:rsid w:val="00491CE2"/>
    <w:rsid w:val="004C65C9"/>
    <w:rsid w:val="00590955"/>
    <w:rsid w:val="005B42FF"/>
    <w:rsid w:val="005F3C2D"/>
    <w:rsid w:val="00603155"/>
    <w:rsid w:val="00656FBB"/>
    <w:rsid w:val="0066005F"/>
    <w:rsid w:val="00660259"/>
    <w:rsid w:val="00664E9F"/>
    <w:rsid w:val="00712E3D"/>
    <w:rsid w:val="00721488"/>
    <w:rsid w:val="00736684"/>
    <w:rsid w:val="007400F7"/>
    <w:rsid w:val="00743F61"/>
    <w:rsid w:val="00780B13"/>
    <w:rsid w:val="007A2A9D"/>
    <w:rsid w:val="007B2D73"/>
    <w:rsid w:val="008326F0"/>
    <w:rsid w:val="0083580B"/>
    <w:rsid w:val="0087079F"/>
    <w:rsid w:val="00897BC0"/>
    <w:rsid w:val="008B2EBD"/>
    <w:rsid w:val="008C52E9"/>
    <w:rsid w:val="008F28DC"/>
    <w:rsid w:val="00902ADF"/>
    <w:rsid w:val="00933298"/>
    <w:rsid w:val="00957C2C"/>
    <w:rsid w:val="009B2020"/>
    <w:rsid w:val="009D747C"/>
    <w:rsid w:val="00A54F20"/>
    <w:rsid w:val="00A8473A"/>
    <w:rsid w:val="00A9651D"/>
    <w:rsid w:val="00AA0D55"/>
    <w:rsid w:val="00AC54F7"/>
    <w:rsid w:val="00AD2BF1"/>
    <w:rsid w:val="00AD72FD"/>
    <w:rsid w:val="00B138D8"/>
    <w:rsid w:val="00B379EA"/>
    <w:rsid w:val="00B56DB1"/>
    <w:rsid w:val="00BC455D"/>
    <w:rsid w:val="00BC4A52"/>
    <w:rsid w:val="00C13ED9"/>
    <w:rsid w:val="00C2119C"/>
    <w:rsid w:val="00C427CA"/>
    <w:rsid w:val="00C51677"/>
    <w:rsid w:val="00C744CD"/>
    <w:rsid w:val="00CB7511"/>
    <w:rsid w:val="00CD778E"/>
    <w:rsid w:val="00D13D0C"/>
    <w:rsid w:val="00D16770"/>
    <w:rsid w:val="00D51EFF"/>
    <w:rsid w:val="00D628ED"/>
    <w:rsid w:val="00DB03CF"/>
    <w:rsid w:val="00DE0EAA"/>
    <w:rsid w:val="00E0510F"/>
    <w:rsid w:val="00E05526"/>
    <w:rsid w:val="00E10861"/>
    <w:rsid w:val="00E266B5"/>
    <w:rsid w:val="00E547F1"/>
    <w:rsid w:val="00F10AE4"/>
    <w:rsid w:val="00F51535"/>
    <w:rsid w:val="00F85E94"/>
    <w:rsid w:val="00FE0B70"/>
    <w:rsid w:val="00FE0F0F"/>
    <w:rsid w:val="00FE7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B6DF6"/>
  <w15:chartTrackingRefBased/>
  <w15:docId w15:val="{19D87D5A-C382-4252-9C32-A7DB5D62E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02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A411F"/>
    <w:pPr>
      <w:widowControl w:val="0"/>
      <w:spacing w:before="90" w:after="0" w:line="200" w:lineRule="exact"/>
      <w:ind w:left="383" w:hanging="283"/>
      <w:jc w:val="both"/>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11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572</Words>
  <Characters>3265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 mukhtar</dc:creator>
  <cp:keywords/>
  <dc:description/>
  <cp:lastModifiedBy>Kauser Abdulla Malik</cp:lastModifiedBy>
  <cp:revision>2</cp:revision>
  <dcterms:created xsi:type="dcterms:W3CDTF">2021-12-17T08:37:00Z</dcterms:created>
  <dcterms:modified xsi:type="dcterms:W3CDTF">2021-12-17T08:37:00Z</dcterms:modified>
</cp:coreProperties>
</file>