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4774" w:rsidRDefault="0075624F" w:rsidP="00E80E41">
      <w:pPr>
        <w:spacing w:after="0"/>
        <w:jc w:val="right"/>
        <w:rPr>
          <w:szCs w:val="20"/>
        </w:rPr>
      </w:pPr>
      <w:r>
        <w:rPr>
          <w:szCs w:val="20"/>
        </w:rPr>
        <w:t>2022_</w:t>
      </w:r>
      <w:r w:rsidR="00E80E41">
        <w:rPr>
          <w:szCs w:val="20"/>
        </w:rPr>
        <w:t>International Congress on</w:t>
      </w:r>
      <w:r w:rsidR="00C14774">
        <w:rPr>
          <w:szCs w:val="20"/>
        </w:rPr>
        <w:t xml:space="preserve"> Physics</w:t>
      </w:r>
    </w:p>
    <w:p w:rsidR="00E80E41" w:rsidRPr="00E80E41" w:rsidRDefault="004A0D1B" w:rsidP="00E80E41">
      <w:pPr>
        <w:spacing w:after="0"/>
        <w:jc w:val="center"/>
        <w:rPr>
          <w:b/>
          <w:szCs w:val="20"/>
        </w:rPr>
      </w:pPr>
      <w:r w:rsidRPr="00E80E41">
        <w:rPr>
          <w:b/>
          <w:szCs w:val="20"/>
        </w:rPr>
        <w:t>Boltzmann-Arrhenius-</w:t>
      </w:r>
      <w:proofErr w:type="spellStart"/>
      <w:r w:rsidRPr="00E80E41">
        <w:rPr>
          <w:b/>
          <w:szCs w:val="20"/>
        </w:rPr>
        <w:t>Zhurkov</w:t>
      </w:r>
      <w:proofErr w:type="spellEnd"/>
      <w:r w:rsidRPr="00E80E41">
        <w:rPr>
          <w:b/>
          <w:szCs w:val="20"/>
        </w:rPr>
        <w:t xml:space="preserve"> (BAZ) Constitutive Equation, </w:t>
      </w:r>
    </w:p>
    <w:p w:rsidR="00933265" w:rsidRPr="00E80E41" w:rsidRDefault="004A0D1B" w:rsidP="00E80E41">
      <w:pPr>
        <w:spacing w:after="0"/>
        <w:jc w:val="center"/>
        <w:rPr>
          <w:b/>
          <w:szCs w:val="20"/>
        </w:rPr>
      </w:pPr>
      <w:r w:rsidRPr="00E80E41">
        <w:rPr>
          <w:b/>
          <w:szCs w:val="20"/>
        </w:rPr>
        <w:t>and Its Application in Electronics and Photonics  Reliability Physics</w:t>
      </w:r>
      <w:r w:rsidR="00156C19">
        <w:rPr>
          <w:b/>
          <w:szCs w:val="20"/>
        </w:rPr>
        <w:t xml:space="preserve"> (EPRP) </w:t>
      </w:r>
      <w:r w:rsidRPr="00E80E41">
        <w:rPr>
          <w:b/>
          <w:szCs w:val="20"/>
        </w:rPr>
        <w:t xml:space="preserve"> Problems</w:t>
      </w:r>
    </w:p>
    <w:p w:rsidR="00E80E41" w:rsidRDefault="00E80E41" w:rsidP="00E80E41">
      <w:pPr>
        <w:spacing w:after="0"/>
        <w:jc w:val="both"/>
      </w:pPr>
    </w:p>
    <w:p w:rsidR="0075624F" w:rsidRDefault="00E80E41" w:rsidP="00EB51FA">
      <w:pPr>
        <w:spacing w:after="0"/>
        <w:jc w:val="both"/>
      </w:pPr>
      <w:r>
        <w:t xml:space="preserve">A </w:t>
      </w:r>
      <w:r w:rsidR="0075624F" w:rsidRPr="00C06FA8">
        <w:t>probabilistic design</w:t>
      </w:r>
      <w:r>
        <w:t xml:space="preserve"> for reliability (</w:t>
      </w:r>
      <w:proofErr w:type="spellStart"/>
      <w:r>
        <w:t>PDfR</w:t>
      </w:r>
      <w:proofErr w:type="spellEnd"/>
      <w:r>
        <w:t>) concept</w:t>
      </w:r>
      <w:r w:rsidR="0075624F" w:rsidRPr="00C06FA8">
        <w:t xml:space="preserve"> </w:t>
      </w:r>
      <w:r w:rsidR="00EB51FA">
        <w:t>[1-3</w:t>
      </w:r>
      <w:r>
        <w:t>] is</w:t>
      </w:r>
      <w:r w:rsidR="0075624F" w:rsidRPr="00C06FA8">
        <w:t xml:space="preserve"> suggested, addressed, compared and discussed in application to the prediction of the operational reliability </w:t>
      </w:r>
      <w:r>
        <w:t xml:space="preserve">and physics-of-failure </w:t>
      </w:r>
      <w:r w:rsidR="0075624F" w:rsidRPr="00C06FA8">
        <w:t xml:space="preserve">of </w:t>
      </w:r>
      <w:r w:rsidR="0075624F">
        <w:t>electronic</w:t>
      </w:r>
      <w:r w:rsidR="0075624F" w:rsidRPr="00C06FA8">
        <w:t xml:space="preserve"> and photon</w:t>
      </w:r>
      <w:r w:rsidR="0075624F">
        <w:t>ic</w:t>
      </w:r>
      <w:r>
        <w:t xml:space="preserve"> devices and systems. The emphasis is on the use of </w:t>
      </w:r>
      <w:r w:rsidR="0075624F" w:rsidRPr="00C06FA8">
        <w:t>Boltzmann-Arrhenius-</w:t>
      </w:r>
      <w:proofErr w:type="spellStart"/>
      <w:r w:rsidR="0075624F" w:rsidRPr="00C06FA8">
        <w:t>Zhurkov</w:t>
      </w:r>
      <w:proofErr w:type="spellEnd"/>
      <w:r w:rsidR="0075624F" w:rsidRPr="00C06FA8">
        <w:t xml:space="preserve"> (BAZ) model </w:t>
      </w:r>
      <w:r w:rsidR="00156C19">
        <w:t>[4-12</w:t>
      </w:r>
      <w:r w:rsidR="00BE5007">
        <w:t xml:space="preserve">] </w:t>
      </w:r>
      <w:r w:rsidR="0075624F" w:rsidRPr="00C06FA8">
        <w:t xml:space="preserve">for the </w:t>
      </w:r>
      <w:r w:rsidR="00EB51FA">
        <w:t xml:space="preserve">probability-of-non-failure. This model enables </w:t>
      </w:r>
      <w:r w:rsidR="0075624F">
        <w:t>obtain</w:t>
      </w:r>
      <w:r w:rsidR="00EB51FA">
        <w:t>ing</w:t>
      </w:r>
      <w:r w:rsidR="0075624F" w:rsidRPr="00C06FA8">
        <w:t xml:space="preserve"> </w:t>
      </w:r>
      <w:r w:rsidR="0075624F">
        <w:t xml:space="preserve">a </w:t>
      </w:r>
      <w:r w:rsidR="0075624F" w:rsidRPr="00C06FA8">
        <w:t xml:space="preserve">governing relationship for the probability of </w:t>
      </w:r>
      <w:r w:rsidR="00EB51FA">
        <w:t xml:space="preserve">non-failure </w:t>
      </w:r>
      <w:r w:rsidR="0075624F" w:rsidRPr="00C06FA8">
        <w:t>after the given time in operation at the given (absolute) temperature and under the given stres</w:t>
      </w:r>
      <w:r w:rsidR="00EB51FA">
        <w:t xml:space="preserve">s (not necessarily mechanical). </w:t>
      </w:r>
      <w:r w:rsidR="0075624F" w:rsidRPr="00C06FA8">
        <w:t>We discuss how failure oriented accelerated testing (F</w:t>
      </w:r>
      <w:r w:rsidR="0075624F">
        <w:t>OAT) [4</w:t>
      </w:r>
      <w:r w:rsidR="00156C19">
        <w:t>,5,9</w:t>
      </w:r>
      <w:r w:rsidR="0075624F" w:rsidRPr="00C06FA8">
        <w:t xml:space="preserve">] should be </w:t>
      </w:r>
      <w:r w:rsidR="0075624F">
        <w:t>organized, planned and</w:t>
      </w:r>
      <w:r w:rsidR="0075624F" w:rsidRPr="00C06FA8">
        <w:t xml:space="preserve"> conducted, so that the </w:t>
      </w:r>
      <w:r w:rsidR="00EB51FA">
        <w:t xml:space="preserve">BAZ </w:t>
      </w:r>
      <w:r w:rsidR="0075624F" w:rsidRPr="00C06FA8">
        <w:t>empirical characteristics (time constant, stress-free act</w:t>
      </w:r>
      <w:r w:rsidR="00EB51FA">
        <w:t>ivation energy and stressors</w:t>
      </w:r>
      <w:r w:rsidR="0075624F" w:rsidRPr="00C06FA8">
        <w:t xml:space="preserve">) are determined. Based on the </w:t>
      </w:r>
      <w:r w:rsidR="0075624F">
        <w:t xml:space="preserve">BAZ model and </w:t>
      </w:r>
      <w:r w:rsidR="0075624F" w:rsidRPr="00C06FA8">
        <w:t>FOAT da</w:t>
      </w:r>
      <w:r w:rsidR="00EB51FA">
        <w:t>ta, the expected operational probability of failure</w:t>
      </w:r>
      <w:r w:rsidR="0075624F" w:rsidRPr="00C06FA8">
        <w:t xml:space="preserve"> can be predicted and, if necessary, </w:t>
      </w:r>
      <w:r w:rsidR="00EB51FA">
        <w:t>even optimized</w:t>
      </w:r>
      <w:r w:rsidR="0075624F" w:rsidRPr="00C06FA8">
        <w:t xml:space="preserve">.  </w:t>
      </w:r>
      <w:r w:rsidR="00EB51FA">
        <w:t>This probability cannot be high</w:t>
      </w:r>
      <w:r w:rsidR="0075624F" w:rsidRPr="00C06FA8">
        <w:t xml:space="preserve">, </w:t>
      </w:r>
      <w:r w:rsidR="0075624F">
        <w:t xml:space="preserve">of course, but </w:t>
      </w:r>
      <w:r w:rsidR="0075624F" w:rsidRPr="00C06FA8">
        <w:t xml:space="preserve">does not have to be </w:t>
      </w:r>
      <w:r w:rsidR="0075624F">
        <w:t>unnecessarily</w:t>
      </w:r>
      <w:r w:rsidR="00EB51FA">
        <w:t xml:space="preserve"> very low</w:t>
      </w:r>
      <w:r w:rsidR="0075624F">
        <w:t xml:space="preserve"> either</w:t>
      </w:r>
      <w:r w:rsidR="0075624F" w:rsidRPr="00C06FA8">
        <w:t xml:space="preserve"> (superfluous reliability of an over-engineered product</w:t>
      </w:r>
      <w:r w:rsidR="0075624F">
        <w:t xml:space="preserve"> might be too costly): it </w:t>
      </w:r>
      <w:r w:rsidR="0075624F" w:rsidRPr="00C06FA8">
        <w:t xml:space="preserve">has to be </w:t>
      </w:r>
      <w:r w:rsidR="0075624F">
        <w:t xml:space="preserve">and could be made </w:t>
      </w:r>
      <w:r w:rsidR="0075624F" w:rsidRPr="00C06FA8">
        <w:t xml:space="preserve">adequate </w:t>
      </w:r>
      <w:r w:rsidR="00156C19">
        <w:t>for the particular application</w:t>
      </w:r>
      <w:r w:rsidR="0075624F" w:rsidRPr="00C06FA8">
        <w:t xml:space="preserve">. We </w:t>
      </w:r>
      <w:r w:rsidR="0075624F">
        <w:t>assume</w:t>
      </w:r>
      <w:r w:rsidR="0075624F" w:rsidRPr="00C06FA8">
        <w:t xml:space="preserve"> that the time-dependent degradation (aging, </w:t>
      </w:r>
      <w:r w:rsidR="0075624F">
        <w:t xml:space="preserve">damage accumulation, </w:t>
      </w:r>
      <w:r w:rsidR="0075624F" w:rsidRPr="00C06FA8">
        <w:t>flaw propagation) can be viewed</w:t>
      </w:r>
      <w:r w:rsidR="0075624F">
        <w:t xml:space="preserve"> and treated</w:t>
      </w:r>
      <w:r w:rsidR="0075624F" w:rsidRPr="00C06FA8">
        <w:t xml:space="preserve"> as a </w:t>
      </w:r>
      <w:proofErr w:type="spellStart"/>
      <w:r w:rsidR="0075624F" w:rsidRPr="00C06FA8">
        <w:t>Markovian</w:t>
      </w:r>
      <w:proofErr w:type="spellEnd"/>
      <w:r w:rsidR="0075624F" w:rsidRPr="00C06FA8">
        <w:t xml:space="preserve"> process, and</w:t>
      </w:r>
      <w:r w:rsidR="0075624F">
        <w:t xml:space="preserve"> show</w:t>
      </w:r>
      <w:r w:rsidR="0075624F" w:rsidRPr="00C06FA8">
        <w:t xml:space="preserve"> that the BAZ model can be obtained as the steady-state solution to the Fokker-Planck equation </w:t>
      </w:r>
      <w:r w:rsidR="0075624F">
        <w:t>for this</w:t>
      </w:r>
      <w:r w:rsidR="0075624F" w:rsidRPr="00C06FA8">
        <w:t xml:space="preserve"> process</w:t>
      </w:r>
      <w:r w:rsidR="00156C19">
        <w:t xml:space="preserve"> [6]. </w:t>
      </w:r>
      <w:r w:rsidR="0075624F" w:rsidRPr="00C06FA8">
        <w:t xml:space="preserve">Merits, shortcomings, limitations and </w:t>
      </w:r>
      <w:r w:rsidR="00EB51FA">
        <w:t>possible applications of the suggested approach is</w:t>
      </w:r>
      <w:r w:rsidR="0075624F" w:rsidRPr="00C06FA8">
        <w:t xml:space="preserve"> discussed in detail. The general concepts are illustrated by practical examples. It is concluded that the </w:t>
      </w:r>
      <w:r w:rsidR="0075624F">
        <w:t>addressed</w:t>
      </w:r>
      <w:r w:rsidR="0075624F" w:rsidRPr="00C06FA8">
        <w:t xml:space="preserve"> formalisms could be helpful in gaining a better understanding of the reliability physics underlying a particular </w:t>
      </w:r>
      <w:r w:rsidR="0075624F">
        <w:t>process of interest and when assessing the expected oper</w:t>
      </w:r>
      <w:r w:rsidR="00EB51FA">
        <w:t xml:space="preserve">ational reliability of </w:t>
      </w:r>
      <w:r w:rsidR="0075624F">
        <w:t xml:space="preserve"> electronics</w:t>
      </w:r>
      <w:r w:rsidR="00EB51FA">
        <w:t xml:space="preserve"> and photonics in the fields, where high operational</w:t>
      </w:r>
      <w:r w:rsidR="0075624F">
        <w:t xml:space="preserve"> reliability is imperative</w:t>
      </w:r>
      <w:r w:rsidR="00EB51FA">
        <w:t xml:space="preserve"> (aerospace, long-haul communications, military, etc.) and therefore the </w:t>
      </w:r>
      <w:r w:rsidR="0075624F">
        <w:t>abi</w:t>
      </w:r>
      <w:r w:rsidR="00EB51FA">
        <w:t>lity to quantify it is</w:t>
      </w:r>
      <w:r w:rsidR="00156C19">
        <w:t xml:space="preserve"> a must [7, 8, 11, 12</w:t>
      </w:r>
      <w:r w:rsidR="0075624F">
        <w:t>].</w:t>
      </w:r>
      <w:r w:rsidR="0075624F" w:rsidRPr="00C06FA8">
        <w:t xml:space="preserve">  </w:t>
      </w:r>
    </w:p>
    <w:p w:rsidR="00156C19" w:rsidRPr="00C06FA8" w:rsidRDefault="00156C19" w:rsidP="00EB51FA">
      <w:pPr>
        <w:spacing w:after="0"/>
        <w:jc w:val="both"/>
      </w:pPr>
      <w:r>
        <w:t>It is shown also that the BAZ equation can be employed also beyond the EPRP field [13].</w:t>
      </w:r>
    </w:p>
    <w:p w:rsidR="0075624F" w:rsidRPr="00C06FA8" w:rsidRDefault="0075624F" w:rsidP="00EB51FA">
      <w:pPr>
        <w:spacing w:after="0"/>
        <w:jc w:val="center"/>
        <w:rPr>
          <w:b/>
          <w:bCs/>
        </w:rPr>
      </w:pPr>
      <w:r w:rsidRPr="00C06FA8">
        <w:rPr>
          <w:b/>
          <w:bCs/>
        </w:rPr>
        <w:t xml:space="preserve">References </w:t>
      </w:r>
    </w:p>
    <w:p w:rsidR="0075624F" w:rsidRPr="00156C19" w:rsidRDefault="0075624F" w:rsidP="00156C19">
      <w:pPr>
        <w:numPr>
          <w:ilvl w:val="0"/>
          <w:numId w:val="3"/>
        </w:numPr>
        <w:tabs>
          <w:tab w:val="num" w:pos="180"/>
        </w:tabs>
        <w:spacing w:after="0"/>
        <w:ind w:left="144" w:hanging="180"/>
        <w:jc w:val="both"/>
        <w:rPr>
          <w:sz w:val="18"/>
          <w:szCs w:val="18"/>
        </w:rPr>
      </w:pPr>
      <w:r w:rsidRPr="00156C19">
        <w:rPr>
          <w:sz w:val="18"/>
          <w:szCs w:val="18"/>
        </w:rPr>
        <w:t xml:space="preserve">E. </w:t>
      </w:r>
      <w:proofErr w:type="spellStart"/>
      <w:r w:rsidRPr="00156C19">
        <w:rPr>
          <w:sz w:val="18"/>
          <w:szCs w:val="18"/>
        </w:rPr>
        <w:t>Suhir</w:t>
      </w:r>
      <w:proofErr w:type="spellEnd"/>
      <w:r w:rsidRPr="00156C19">
        <w:rPr>
          <w:sz w:val="18"/>
          <w:szCs w:val="18"/>
        </w:rPr>
        <w:t xml:space="preserve">, “Probabilistic Design for Reliability”, Chip Scale Reviews, vol.14, No.6, 2010 </w:t>
      </w:r>
    </w:p>
    <w:p w:rsidR="0075624F" w:rsidRPr="00156C19" w:rsidRDefault="0075624F" w:rsidP="00156C19">
      <w:pPr>
        <w:numPr>
          <w:ilvl w:val="0"/>
          <w:numId w:val="3"/>
        </w:numPr>
        <w:tabs>
          <w:tab w:val="num" w:pos="180"/>
        </w:tabs>
        <w:spacing w:after="0"/>
        <w:ind w:left="144" w:hanging="180"/>
        <w:jc w:val="both"/>
        <w:rPr>
          <w:sz w:val="18"/>
          <w:szCs w:val="18"/>
        </w:rPr>
      </w:pPr>
      <w:r w:rsidRPr="00156C19">
        <w:rPr>
          <w:sz w:val="18"/>
          <w:szCs w:val="18"/>
        </w:rPr>
        <w:t xml:space="preserve">E. </w:t>
      </w:r>
      <w:proofErr w:type="spellStart"/>
      <w:r w:rsidRPr="00156C19">
        <w:rPr>
          <w:sz w:val="18"/>
          <w:szCs w:val="18"/>
        </w:rPr>
        <w:t>Suhir</w:t>
      </w:r>
      <w:proofErr w:type="spellEnd"/>
      <w:r w:rsidRPr="00156C19">
        <w:rPr>
          <w:sz w:val="18"/>
          <w:szCs w:val="18"/>
        </w:rPr>
        <w:t xml:space="preserve">, </w:t>
      </w:r>
      <w:proofErr w:type="spellStart"/>
      <w:r w:rsidRPr="00156C19">
        <w:rPr>
          <w:sz w:val="18"/>
          <w:szCs w:val="18"/>
        </w:rPr>
        <w:t>R.Mahajan</w:t>
      </w:r>
      <w:proofErr w:type="spellEnd"/>
      <w:r w:rsidRPr="00156C19">
        <w:rPr>
          <w:sz w:val="18"/>
          <w:szCs w:val="18"/>
        </w:rPr>
        <w:t xml:space="preserve">, </w:t>
      </w:r>
      <w:proofErr w:type="spellStart"/>
      <w:r w:rsidRPr="00156C19">
        <w:rPr>
          <w:sz w:val="18"/>
          <w:szCs w:val="18"/>
        </w:rPr>
        <w:t>A.E.Lucero</w:t>
      </w:r>
      <w:proofErr w:type="spellEnd"/>
      <w:r w:rsidRPr="00156C19">
        <w:rPr>
          <w:sz w:val="18"/>
          <w:szCs w:val="18"/>
        </w:rPr>
        <w:t xml:space="preserve">, L. </w:t>
      </w:r>
      <w:proofErr w:type="spellStart"/>
      <w:r w:rsidRPr="00156C19">
        <w:rPr>
          <w:sz w:val="18"/>
          <w:szCs w:val="18"/>
        </w:rPr>
        <w:t>Bechou</w:t>
      </w:r>
      <w:proofErr w:type="spellEnd"/>
      <w:r w:rsidRPr="00156C19">
        <w:rPr>
          <w:sz w:val="18"/>
          <w:szCs w:val="18"/>
        </w:rPr>
        <w:t>, “Probabilistic Design-for-Reliability (</w:t>
      </w:r>
      <w:proofErr w:type="spellStart"/>
      <w:r w:rsidRPr="00156C19">
        <w:rPr>
          <w:sz w:val="18"/>
          <w:szCs w:val="18"/>
        </w:rPr>
        <w:t>PDfR</w:t>
      </w:r>
      <w:proofErr w:type="spellEnd"/>
      <w:r w:rsidRPr="00156C19">
        <w:rPr>
          <w:sz w:val="18"/>
          <w:szCs w:val="18"/>
        </w:rPr>
        <w:t>) Concept and Novel Approach to Qualification of Aerospace Electronic Products”, IEEE Aerospace Conf., Big Sky, Montana, 2012</w:t>
      </w:r>
    </w:p>
    <w:p w:rsidR="0075624F" w:rsidRPr="00156C19" w:rsidRDefault="00D54AE4" w:rsidP="00156C19">
      <w:pPr>
        <w:numPr>
          <w:ilvl w:val="0"/>
          <w:numId w:val="3"/>
        </w:numPr>
        <w:tabs>
          <w:tab w:val="num" w:pos="180"/>
        </w:tabs>
        <w:spacing w:after="0"/>
        <w:ind w:left="144" w:hanging="180"/>
        <w:jc w:val="both"/>
        <w:rPr>
          <w:sz w:val="18"/>
          <w:szCs w:val="18"/>
        </w:rPr>
      </w:pPr>
      <w:r w:rsidRPr="00156C19">
        <w:rPr>
          <w:sz w:val="18"/>
          <w:szCs w:val="18"/>
        </w:rPr>
        <w:t xml:space="preserve">E. </w:t>
      </w:r>
      <w:proofErr w:type="spellStart"/>
      <w:r w:rsidRPr="00156C19">
        <w:rPr>
          <w:sz w:val="18"/>
          <w:szCs w:val="18"/>
        </w:rPr>
        <w:t>Suhir</w:t>
      </w:r>
      <w:proofErr w:type="spellEnd"/>
      <w:r w:rsidRPr="00156C19">
        <w:rPr>
          <w:sz w:val="18"/>
          <w:szCs w:val="18"/>
        </w:rPr>
        <w:t xml:space="preserve">, </w:t>
      </w:r>
      <w:r w:rsidR="0075624F" w:rsidRPr="00156C19">
        <w:rPr>
          <w:i/>
          <w:sz w:val="18"/>
          <w:szCs w:val="18"/>
        </w:rPr>
        <w:t>Applied Probabili</w:t>
      </w:r>
      <w:r w:rsidRPr="00156C19">
        <w:rPr>
          <w:i/>
          <w:sz w:val="18"/>
          <w:szCs w:val="18"/>
        </w:rPr>
        <w:t>ty for Engineers and Scientists</w:t>
      </w:r>
      <w:r w:rsidR="0075624F" w:rsidRPr="00156C19">
        <w:rPr>
          <w:sz w:val="18"/>
          <w:szCs w:val="18"/>
        </w:rPr>
        <w:t>, McGraw-Hill, 1997</w:t>
      </w:r>
    </w:p>
    <w:p w:rsidR="0075624F" w:rsidRPr="00156C19" w:rsidRDefault="0075624F" w:rsidP="00156C19">
      <w:pPr>
        <w:numPr>
          <w:ilvl w:val="0"/>
          <w:numId w:val="3"/>
        </w:numPr>
        <w:tabs>
          <w:tab w:val="num" w:pos="180"/>
        </w:tabs>
        <w:spacing w:after="0"/>
        <w:ind w:left="144" w:hanging="180"/>
        <w:jc w:val="both"/>
        <w:rPr>
          <w:sz w:val="18"/>
          <w:szCs w:val="18"/>
        </w:rPr>
      </w:pPr>
      <w:r w:rsidRPr="00156C19">
        <w:rPr>
          <w:sz w:val="18"/>
          <w:szCs w:val="18"/>
        </w:rPr>
        <w:t xml:space="preserve">E. </w:t>
      </w:r>
      <w:proofErr w:type="spellStart"/>
      <w:r w:rsidRPr="00156C19">
        <w:rPr>
          <w:sz w:val="18"/>
          <w:szCs w:val="18"/>
        </w:rPr>
        <w:t>Suhir</w:t>
      </w:r>
      <w:proofErr w:type="spellEnd"/>
      <w:r w:rsidRPr="00156C19">
        <w:rPr>
          <w:sz w:val="18"/>
          <w:szCs w:val="18"/>
        </w:rPr>
        <w:t xml:space="preserve">, </w:t>
      </w:r>
      <w:proofErr w:type="spellStart"/>
      <w:r w:rsidRPr="00156C19">
        <w:rPr>
          <w:sz w:val="18"/>
          <w:szCs w:val="18"/>
        </w:rPr>
        <w:t>R.Mahajan</w:t>
      </w:r>
      <w:proofErr w:type="spellEnd"/>
      <w:r w:rsidRPr="00156C19">
        <w:rPr>
          <w:sz w:val="18"/>
          <w:szCs w:val="18"/>
        </w:rPr>
        <w:t>, “Are Current Qualification Practices Adequate?“, Circuit Assembly, April 2011</w:t>
      </w:r>
    </w:p>
    <w:p w:rsidR="00BE5007" w:rsidRPr="00156C19" w:rsidRDefault="0075624F" w:rsidP="00156C19">
      <w:pPr>
        <w:numPr>
          <w:ilvl w:val="0"/>
          <w:numId w:val="3"/>
        </w:numPr>
        <w:tabs>
          <w:tab w:val="num" w:pos="180"/>
          <w:tab w:val="left" w:pos="810"/>
        </w:tabs>
        <w:overflowPunct w:val="0"/>
        <w:autoSpaceDE w:val="0"/>
        <w:autoSpaceDN w:val="0"/>
        <w:adjustRightInd w:val="0"/>
        <w:spacing w:after="0"/>
        <w:ind w:left="144" w:hanging="180"/>
        <w:jc w:val="both"/>
        <w:textAlignment w:val="baseline"/>
        <w:rPr>
          <w:sz w:val="18"/>
          <w:szCs w:val="18"/>
        </w:rPr>
      </w:pPr>
      <w:r w:rsidRPr="00156C19">
        <w:rPr>
          <w:color w:val="000000"/>
          <w:sz w:val="18"/>
          <w:szCs w:val="18"/>
        </w:rPr>
        <w:t xml:space="preserve">E. </w:t>
      </w:r>
      <w:proofErr w:type="spellStart"/>
      <w:r w:rsidRPr="00156C19">
        <w:rPr>
          <w:color w:val="000000"/>
          <w:sz w:val="18"/>
          <w:szCs w:val="18"/>
        </w:rPr>
        <w:t>Suhir</w:t>
      </w:r>
      <w:proofErr w:type="spellEnd"/>
      <w:r w:rsidRPr="00156C19">
        <w:rPr>
          <w:color w:val="000000"/>
          <w:sz w:val="18"/>
          <w:szCs w:val="18"/>
        </w:rPr>
        <w:t>, “Qualification Specs Should Consider the Most Likely Application(s) of an Electronics Product”, Chip Scale Reviews, July-August, 2012</w:t>
      </w:r>
    </w:p>
    <w:p w:rsidR="00BE5007" w:rsidRPr="00156C19" w:rsidRDefault="00BE5007" w:rsidP="00156C19">
      <w:pPr>
        <w:numPr>
          <w:ilvl w:val="0"/>
          <w:numId w:val="3"/>
        </w:numPr>
        <w:tabs>
          <w:tab w:val="num" w:pos="180"/>
          <w:tab w:val="left" w:pos="810"/>
        </w:tabs>
        <w:overflowPunct w:val="0"/>
        <w:autoSpaceDE w:val="0"/>
        <w:autoSpaceDN w:val="0"/>
        <w:adjustRightInd w:val="0"/>
        <w:spacing w:after="0"/>
        <w:ind w:left="144" w:hanging="180"/>
        <w:jc w:val="both"/>
        <w:textAlignment w:val="baseline"/>
        <w:rPr>
          <w:sz w:val="18"/>
          <w:szCs w:val="18"/>
        </w:rPr>
      </w:pPr>
      <w:r w:rsidRPr="00156C19">
        <w:rPr>
          <w:sz w:val="18"/>
          <w:szCs w:val="18"/>
        </w:rPr>
        <w:t xml:space="preserve">E. </w:t>
      </w:r>
      <w:proofErr w:type="spellStart"/>
      <w:r w:rsidRPr="00156C19">
        <w:rPr>
          <w:sz w:val="18"/>
          <w:szCs w:val="18"/>
        </w:rPr>
        <w:t>Suhir</w:t>
      </w:r>
      <w:proofErr w:type="spellEnd"/>
      <w:r w:rsidRPr="00156C19">
        <w:rPr>
          <w:sz w:val="18"/>
          <w:szCs w:val="18"/>
        </w:rPr>
        <w:t>, S. Kang, “Boltzmann-Arrhenius-</w:t>
      </w:r>
      <w:proofErr w:type="spellStart"/>
      <w:r w:rsidRPr="00156C19">
        <w:rPr>
          <w:sz w:val="18"/>
          <w:szCs w:val="18"/>
        </w:rPr>
        <w:t>Zhurkov</w:t>
      </w:r>
      <w:proofErr w:type="spellEnd"/>
      <w:r w:rsidRPr="00156C19">
        <w:rPr>
          <w:sz w:val="18"/>
          <w:szCs w:val="18"/>
        </w:rPr>
        <w:t xml:space="preserve"> (BAZ) Model in Physics-of-Materials Problems”, Modern Physics Letters B (MPLB), vol.27, April 2013</w:t>
      </w:r>
    </w:p>
    <w:p w:rsidR="00BE5007" w:rsidRPr="00156C19" w:rsidRDefault="00BE5007" w:rsidP="00156C19">
      <w:pPr>
        <w:numPr>
          <w:ilvl w:val="0"/>
          <w:numId w:val="3"/>
        </w:numPr>
        <w:tabs>
          <w:tab w:val="num" w:pos="180"/>
          <w:tab w:val="left" w:pos="810"/>
        </w:tabs>
        <w:overflowPunct w:val="0"/>
        <w:autoSpaceDE w:val="0"/>
        <w:autoSpaceDN w:val="0"/>
        <w:adjustRightInd w:val="0"/>
        <w:spacing w:after="0"/>
        <w:ind w:left="144" w:hanging="180"/>
        <w:jc w:val="both"/>
        <w:textAlignment w:val="baseline"/>
        <w:rPr>
          <w:sz w:val="18"/>
          <w:szCs w:val="18"/>
        </w:rPr>
      </w:pPr>
      <w:proofErr w:type="spellStart"/>
      <w:r w:rsidRPr="00156C19">
        <w:rPr>
          <w:sz w:val="18"/>
          <w:szCs w:val="18"/>
        </w:rPr>
        <w:t>E.Suhir</w:t>
      </w:r>
      <w:proofErr w:type="spellEnd"/>
      <w:r w:rsidRPr="00156C19">
        <w:rPr>
          <w:sz w:val="18"/>
          <w:szCs w:val="18"/>
        </w:rPr>
        <w:t>, “Making a Viable Medical Electron Device Package into a Reliable Product”, IMAPS Advancing Microelectronics, vol.46, No.2, 2019</w:t>
      </w:r>
    </w:p>
    <w:p w:rsidR="00BE5007" w:rsidRPr="00156C19" w:rsidRDefault="00BE5007" w:rsidP="00156C19">
      <w:pPr>
        <w:numPr>
          <w:ilvl w:val="0"/>
          <w:numId w:val="3"/>
        </w:numPr>
        <w:tabs>
          <w:tab w:val="num" w:pos="180"/>
          <w:tab w:val="left" w:pos="810"/>
        </w:tabs>
        <w:overflowPunct w:val="0"/>
        <w:autoSpaceDE w:val="0"/>
        <w:autoSpaceDN w:val="0"/>
        <w:adjustRightInd w:val="0"/>
        <w:spacing w:after="0"/>
        <w:ind w:left="144" w:hanging="180"/>
        <w:jc w:val="both"/>
        <w:textAlignment w:val="baseline"/>
        <w:rPr>
          <w:sz w:val="18"/>
          <w:szCs w:val="18"/>
        </w:rPr>
      </w:pPr>
      <w:proofErr w:type="spellStart"/>
      <w:r w:rsidRPr="00156C19">
        <w:rPr>
          <w:color w:val="000000"/>
          <w:sz w:val="18"/>
          <w:szCs w:val="18"/>
        </w:rPr>
        <w:t>A.Ponomarev</w:t>
      </w:r>
      <w:proofErr w:type="spellEnd"/>
      <w:r w:rsidRPr="00156C19">
        <w:rPr>
          <w:color w:val="000000"/>
          <w:sz w:val="18"/>
          <w:szCs w:val="18"/>
        </w:rPr>
        <w:t xml:space="preserve"> and E. </w:t>
      </w:r>
      <w:proofErr w:type="spellStart"/>
      <w:r w:rsidRPr="00156C19">
        <w:rPr>
          <w:color w:val="000000"/>
          <w:sz w:val="18"/>
          <w:szCs w:val="18"/>
        </w:rPr>
        <w:t>Suhir</w:t>
      </w:r>
      <w:proofErr w:type="spellEnd"/>
      <w:r w:rsidRPr="00156C19">
        <w:rPr>
          <w:color w:val="000000"/>
          <w:sz w:val="18"/>
          <w:szCs w:val="18"/>
        </w:rPr>
        <w:t>, “</w:t>
      </w:r>
      <w:r w:rsidRPr="00156C19">
        <w:rPr>
          <w:color w:val="000000" w:themeColor="text1"/>
          <w:sz w:val="18"/>
          <w:szCs w:val="18"/>
        </w:rPr>
        <w:t xml:space="preserve">Predicted Useful Lifetime of Aerospace Electronics Experiencing Ionizing Radiation: Application of BAZ Model”, Journal of Aerospace </w:t>
      </w:r>
      <w:r w:rsidR="00156C19" w:rsidRPr="00156C19">
        <w:rPr>
          <w:color w:val="000000" w:themeColor="text1"/>
          <w:sz w:val="18"/>
          <w:szCs w:val="18"/>
        </w:rPr>
        <w:t>Engineering and Mechanics</w:t>
      </w:r>
      <w:r w:rsidRPr="00156C19">
        <w:rPr>
          <w:color w:val="000000" w:themeColor="text1"/>
          <w:sz w:val="18"/>
          <w:szCs w:val="18"/>
        </w:rPr>
        <w:t>, v.3, issue 1, 2019</w:t>
      </w:r>
    </w:p>
    <w:p w:rsidR="00156C19" w:rsidRDefault="00BE5007" w:rsidP="00156C19">
      <w:pPr>
        <w:numPr>
          <w:ilvl w:val="0"/>
          <w:numId w:val="3"/>
        </w:numPr>
        <w:tabs>
          <w:tab w:val="num" w:pos="180"/>
          <w:tab w:val="left" w:pos="810"/>
        </w:tabs>
        <w:overflowPunct w:val="0"/>
        <w:autoSpaceDE w:val="0"/>
        <w:autoSpaceDN w:val="0"/>
        <w:adjustRightInd w:val="0"/>
        <w:spacing w:after="0"/>
        <w:ind w:left="144" w:hanging="180"/>
        <w:jc w:val="both"/>
        <w:textAlignment w:val="baseline"/>
        <w:rPr>
          <w:sz w:val="18"/>
          <w:szCs w:val="18"/>
        </w:rPr>
      </w:pPr>
      <w:proofErr w:type="spellStart"/>
      <w:r w:rsidRPr="00156C19">
        <w:rPr>
          <w:color w:val="000000"/>
          <w:sz w:val="18"/>
          <w:szCs w:val="18"/>
        </w:rPr>
        <w:t>E.Suhir</w:t>
      </w:r>
      <w:proofErr w:type="spellEnd"/>
      <w:r w:rsidRPr="00156C19">
        <w:rPr>
          <w:color w:val="000000"/>
          <w:sz w:val="18"/>
          <w:szCs w:val="18"/>
        </w:rPr>
        <w:t>, “Failure-Oriented-Accelerated-Testing (FOAT), Boltzmann-Arrhenius-</w:t>
      </w:r>
      <w:proofErr w:type="spellStart"/>
      <w:r w:rsidRPr="00156C19">
        <w:rPr>
          <w:color w:val="000000"/>
          <w:sz w:val="18"/>
          <w:szCs w:val="18"/>
        </w:rPr>
        <w:t>Zhurkov</w:t>
      </w:r>
      <w:proofErr w:type="spellEnd"/>
      <w:r w:rsidRPr="00156C19">
        <w:rPr>
          <w:color w:val="000000"/>
          <w:sz w:val="18"/>
          <w:szCs w:val="18"/>
        </w:rPr>
        <w:t xml:space="preserve"> Equation (BAZ) and Their Application in Microelectronics and Photonics Reliability Engineering”, Int. J. of Aeronautic</w:t>
      </w:r>
      <w:r w:rsidR="00156C19" w:rsidRPr="00156C19">
        <w:rPr>
          <w:color w:val="000000"/>
          <w:sz w:val="18"/>
          <w:szCs w:val="18"/>
        </w:rPr>
        <w:t>al Sci. and Aerospace Research</w:t>
      </w:r>
      <w:r w:rsidRPr="00156C19">
        <w:rPr>
          <w:color w:val="000000"/>
          <w:sz w:val="18"/>
          <w:szCs w:val="18"/>
        </w:rPr>
        <w:t xml:space="preserve">, 6(3), 2019 </w:t>
      </w:r>
    </w:p>
    <w:p w:rsidR="00BE5007" w:rsidRPr="00156C19" w:rsidRDefault="004815EA" w:rsidP="00156C19">
      <w:pPr>
        <w:numPr>
          <w:ilvl w:val="0"/>
          <w:numId w:val="3"/>
        </w:numPr>
        <w:tabs>
          <w:tab w:val="num" w:pos="180"/>
          <w:tab w:val="left" w:pos="810"/>
        </w:tabs>
        <w:overflowPunct w:val="0"/>
        <w:autoSpaceDE w:val="0"/>
        <w:autoSpaceDN w:val="0"/>
        <w:adjustRightInd w:val="0"/>
        <w:spacing w:after="0"/>
        <w:ind w:left="0" w:hanging="180"/>
        <w:jc w:val="both"/>
        <w:textAlignment w:val="baseline"/>
        <w:rPr>
          <w:sz w:val="18"/>
          <w:szCs w:val="18"/>
        </w:rPr>
      </w:pPr>
      <w:proofErr w:type="spellStart"/>
      <w:r w:rsidRPr="00156C19">
        <w:rPr>
          <w:rFonts w:eastAsia="Arial Narrow"/>
          <w:color w:val="000000"/>
          <w:sz w:val="18"/>
          <w:szCs w:val="18"/>
        </w:rPr>
        <w:t>E.Suhir</w:t>
      </w:r>
      <w:proofErr w:type="spellEnd"/>
      <w:r w:rsidRPr="00156C19">
        <w:rPr>
          <w:rFonts w:eastAsia="Arial Narrow"/>
          <w:color w:val="000000"/>
          <w:sz w:val="18"/>
          <w:szCs w:val="18"/>
        </w:rPr>
        <w:t>, “</w:t>
      </w:r>
      <w:r w:rsidRPr="00156C19">
        <w:rPr>
          <w:rFonts w:eastAsia="Arial Narrow"/>
          <w:sz w:val="18"/>
          <w:szCs w:val="18"/>
        </w:rPr>
        <w:t>Boltzmann-Arrhenius-</w:t>
      </w:r>
      <w:proofErr w:type="spellStart"/>
      <w:r w:rsidRPr="00156C19">
        <w:rPr>
          <w:rFonts w:eastAsia="Arial Narrow"/>
          <w:sz w:val="18"/>
          <w:szCs w:val="18"/>
        </w:rPr>
        <w:t>Zhurkov</w:t>
      </w:r>
      <w:proofErr w:type="spellEnd"/>
      <w:r w:rsidRPr="00156C19">
        <w:rPr>
          <w:rFonts w:eastAsia="Arial Narrow"/>
          <w:sz w:val="18"/>
          <w:szCs w:val="18"/>
        </w:rPr>
        <w:t xml:space="preserve"> Equation and Its Applications  In Electronic-and-Photonic Aerospace Materials Reliability-Physics Problems”,  Int. Journal of Aeronautical Science and Aerospace Re</w:t>
      </w:r>
      <w:r w:rsidR="00156C19" w:rsidRPr="00156C19">
        <w:rPr>
          <w:rFonts w:eastAsia="Arial Narrow"/>
          <w:sz w:val="18"/>
          <w:szCs w:val="18"/>
        </w:rPr>
        <w:t>search</w:t>
      </w:r>
      <w:r w:rsidRPr="00156C19">
        <w:rPr>
          <w:rFonts w:eastAsia="Arial Narrow"/>
          <w:sz w:val="18"/>
          <w:szCs w:val="18"/>
        </w:rPr>
        <w:t>, March 24, 2020</w:t>
      </w:r>
    </w:p>
    <w:p w:rsidR="00BE5007" w:rsidRPr="00156C19" w:rsidRDefault="0094445B" w:rsidP="00156C19">
      <w:pPr>
        <w:numPr>
          <w:ilvl w:val="0"/>
          <w:numId w:val="3"/>
        </w:numPr>
        <w:tabs>
          <w:tab w:val="num" w:pos="180"/>
          <w:tab w:val="left" w:pos="810"/>
        </w:tabs>
        <w:overflowPunct w:val="0"/>
        <w:autoSpaceDE w:val="0"/>
        <w:autoSpaceDN w:val="0"/>
        <w:adjustRightInd w:val="0"/>
        <w:spacing w:after="0"/>
        <w:ind w:left="0" w:hanging="180"/>
        <w:jc w:val="both"/>
        <w:textAlignment w:val="baseline"/>
        <w:rPr>
          <w:sz w:val="18"/>
          <w:szCs w:val="18"/>
        </w:rPr>
      </w:pPr>
      <w:proofErr w:type="spellStart"/>
      <w:r w:rsidRPr="00156C19">
        <w:rPr>
          <w:rFonts w:eastAsia="Arial Narrow"/>
          <w:sz w:val="18"/>
          <w:szCs w:val="18"/>
        </w:rPr>
        <w:t>E.Suhir</w:t>
      </w:r>
      <w:proofErr w:type="spellEnd"/>
      <w:r w:rsidRPr="00156C19">
        <w:rPr>
          <w:rFonts w:eastAsia="Arial Narrow"/>
          <w:sz w:val="18"/>
          <w:szCs w:val="18"/>
        </w:rPr>
        <w:t xml:space="preserve"> and </w:t>
      </w:r>
      <w:proofErr w:type="spellStart"/>
      <w:r w:rsidRPr="00156C19">
        <w:rPr>
          <w:rFonts w:eastAsia="Arial Narrow"/>
          <w:sz w:val="18"/>
          <w:szCs w:val="18"/>
        </w:rPr>
        <w:t>Z.Stamenkovic</w:t>
      </w:r>
      <w:proofErr w:type="spellEnd"/>
      <w:r w:rsidRPr="00156C19">
        <w:rPr>
          <w:rFonts w:eastAsia="Arial Narrow"/>
          <w:sz w:val="18"/>
          <w:szCs w:val="18"/>
        </w:rPr>
        <w:t>, “Using Yield to Predict Long-Term Reliability of Integrated Circuit (IC) Devices: Application of Boltzmann-Arrhenius-</w:t>
      </w:r>
      <w:proofErr w:type="spellStart"/>
      <w:r w:rsidRPr="00156C19">
        <w:rPr>
          <w:rFonts w:eastAsia="Arial Narrow"/>
          <w:sz w:val="18"/>
          <w:szCs w:val="18"/>
        </w:rPr>
        <w:t>Zhurkov</w:t>
      </w:r>
      <w:proofErr w:type="spellEnd"/>
      <w:r w:rsidRPr="00156C19">
        <w:rPr>
          <w:rFonts w:eastAsia="Arial Narrow"/>
          <w:sz w:val="18"/>
          <w:szCs w:val="18"/>
        </w:rPr>
        <w:t xml:space="preserve"> (BAZ) Model”, Solid-State Electronics, vol.164, Feb. 2020</w:t>
      </w:r>
    </w:p>
    <w:p w:rsidR="00BE5007" w:rsidRPr="00156C19" w:rsidRDefault="00BE5007" w:rsidP="00156C19">
      <w:pPr>
        <w:numPr>
          <w:ilvl w:val="0"/>
          <w:numId w:val="3"/>
        </w:numPr>
        <w:tabs>
          <w:tab w:val="num" w:pos="180"/>
          <w:tab w:val="left" w:pos="810"/>
        </w:tabs>
        <w:overflowPunct w:val="0"/>
        <w:autoSpaceDE w:val="0"/>
        <w:autoSpaceDN w:val="0"/>
        <w:adjustRightInd w:val="0"/>
        <w:spacing w:after="0"/>
        <w:ind w:left="0" w:hanging="180"/>
        <w:jc w:val="both"/>
        <w:textAlignment w:val="baseline"/>
        <w:rPr>
          <w:sz w:val="18"/>
          <w:szCs w:val="18"/>
        </w:rPr>
      </w:pPr>
      <w:proofErr w:type="spellStart"/>
      <w:r w:rsidRPr="00156C19">
        <w:rPr>
          <w:sz w:val="18"/>
          <w:szCs w:val="18"/>
        </w:rPr>
        <w:t>E.Suhir</w:t>
      </w:r>
      <w:proofErr w:type="spellEnd"/>
      <w:r w:rsidRPr="00156C19">
        <w:rPr>
          <w:sz w:val="18"/>
          <w:szCs w:val="18"/>
        </w:rPr>
        <w:t xml:space="preserve">, </w:t>
      </w:r>
      <w:r w:rsidRPr="00156C19">
        <w:rPr>
          <w:i/>
          <w:sz w:val="18"/>
          <w:szCs w:val="18"/>
        </w:rPr>
        <w:t>Avoiding Inelastic Strain in Solder Material of IC Devices</w:t>
      </w:r>
      <w:r w:rsidRPr="00156C19">
        <w:rPr>
          <w:sz w:val="18"/>
          <w:szCs w:val="18"/>
        </w:rPr>
        <w:t xml:space="preserve">, CRC Press, 2021 </w:t>
      </w:r>
    </w:p>
    <w:p w:rsidR="00156C19" w:rsidRPr="00156C19" w:rsidRDefault="00156C19" w:rsidP="00156C19">
      <w:pPr>
        <w:numPr>
          <w:ilvl w:val="0"/>
          <w:numId w:val="3"/>
        </w:numPr>
        <w:tabs>
          <w:tab w:val="num" w:pos="180"/>
          <w:tab w:val="left" w:pos="810"/>
        </w:tabs>
        <w:overflowPunct w:val="0"/>
        <w:autoSpaceDE w:val="0"/>
        <w:autoSpaceDN w:val="0"/>
        <w:adjustRightInd w:val="0"/>
        <w:spacing w:after="0"/>
        <w:ind w:left="0" w:hanging="180"/>
        <w:jc w:val="both"/>
        <w:textAlignment w:val="baseline"/>
        <w:rPr>
          <w:sz w:val="18"/>
          <w:szCs w:val="18"/>
        </w:rPr>
      </w:pPr>
      <w:proofErr w:type="spellStart"/>
      <w:r w:rsidRPr="00156C19">
        <w:rPr>
          <w:rFonts w:eastAsia="Arial Narrow"/>
          <w:color w:val="000000"/>
          <w:sz w:val="18"/>
          <w:szCs w:val="18"/>
        </w:rPr>
        <w:t>E.Suhir</w:t>
      </w:r>
      <w:proofErr w:type="spellEnd"/>
      <w:r w:rsidRPr="00156C19">
        <w:rPr>
          <w:rFonts w:eastAsia="Arial Narrow"/>
          <w:color w:val="000000"/>
          <w:sz w:val="18"/>
          <w:szCs w:val="18"/>
        </w:rPr>
        <w:t>, ”</w:t>
      </w:r>
      <w:r w:rsidRPr="00156C19">
        <w:rPr>
          <w:rFonts w:eastAsia="Arial Narrow"/>
          <w:sz w:val="18"/>
          <w:szCs w:val="18"/>
        </w:rPr>
        <w:t>Survivability of Species in Different Habitats: Application of Multi-Parametric Boltzmann-Arrhenius-</w:t>
      </w:r>
      <w:proofErr w:type="spellStart"/>
      <w:r w:rsidRPr="00156C19">
        <w:rPr>
          <w:rFonts w:eastAsia="Arial Narrow"/>
          <w:sz w:val="18"/>
          <w:szCs w:val="18"/>
        </w:rPr>
        <w:t>Zhurkov</w:t>
      </w:r>
      <w:proofErr w:type="spellEnd"/>
      <w:r w:rsidRPr="00156C19">
        <w:rPr>
          <w:rFonts w:eastAsia="Arial Narrow"/>
          <w:sz w:val="18"/>
          <w:szCs w:val="18"/>
        </w:rPr>
        <w:t xml:space="preserve"> Equation”, </w:t>
      </w:r>
      <w:proofErr w:type="spellStart"/>
      <w:r w:rsidRPr="00156C19">
        <w:rPr>
          <w:rFonts w:eastAsia="Arial Narrow"/>
          <w:sz w:val="18"/>
          <w:szCs w:val="18"/>
        </w:rPr>
        <w:t>Acta</w:t>
      </w:r>
      <w:proofErr w:type="spellEnd"/>
      <w:r w:rsidRPr="00156C19">
        <w:rPr>
          <w:rFonts w:eastAsia="Arial Narrow"/>
          <w:sz w:val="18"/>
          <w:szCs w:val="18"/>
        </w:rPr>
        <w:t xml:space="preserve">  </w:t>
      </w:r>
      <w:proofErr w:type="spellStart"/>
      <w:r w:rsidRPr="00156C19">
        <w:rPr>
          <w:rFonts w:eastAsia="Arial Narrow"/>
          <w:sz w:val="18"/>
          <w:szCs w:val="18"/>
        </w:rPr>
        <w:t>Astronautica</w:t>
      </w:r>
      <w:proofErr w:type="spellEnd"/>
      <w:r w:rsidRPr="00156C19">
        <w:rPr>
          <w:rFonts w:eastAsia="Arial Narrow"/>
          <w:sz w:val="18"/>
          <w:szCs w:val="18"/>
        </w:rPr>
        <w:t>, v. 175, 2020</w:t>
      </w:r>
    </w:p>
    <w:p w:rsidR="00156C19" w:rsidRPr="00156C19" w:rsidRDefault="00156C19" w:rsidP="00156C19">
      <w:pPr>
        <w:tabs>
          <w:tab w:val="left" w:pos="810"/>
        </w:tabs>
        <w:overflowPunct w:val="0"/>
        <w:autoSpaceDE w:val="0"/>
        <w:autoSpaceDN w:val="0"/>
        <w:adjustRightInd w:val="0"/>
        <w:spacing w:after="0"/>
        <w:ind w:left="144"/>
        <w:jc w:val="both"/>
        <w:textAlignment w:val="baseline"/>
        <w:rPr>
          <w:sz w:val="18"/>
          <w:szCs w:val="18"/>
        </w:rPr>
      </w:pPr>
    </w:p>
    <w:p w:rsidR="00BE5007" w:rsidRPr="00156C19" w:rsidRDefault="00BE5007" w:rsidP="00156C19">
      <w:pPr>
        <w:pStyle w:val="ListParagraph"/>
        <w:widowControl/>
        <w:overflowPunct w:val="0"/>
        <w:autoSpaceDE w:val="0"/>
        <w:autoSpaceDN w:val="0"/>
        <w:adjustRightInd w:val="0"/>
        <w:ind w:left="144"/>
        <w:textAlignment w:val="baseline"/>
        <w:rPr>
          <w:color w:val="000000"/>
          <w:sz w:val="18"/>
          <w:szCs w:val="18"/>
        </w:rPr>
      </w:pPr>
    </w:p>
    <w:p w:rsidR="0075624F" w:rsidRPr="00022F71" w:rsidRDefault="0075624F" w:rsidP="0075624F">
      <w:pPr>
        <w:tabs>
          <w:tab w:val="num" w:pos="180"/>
        </w:tabs>
        <w:ind w:left="180" w:hanging="180"/>
        <w:rPr>
          <w:szCs w:val="20"/>
        </w:rPr>
      </w:pPr>
    </w:p>
    <w:p w:rsidR="0075624F" w:rsidRPr="00022F71" w:rsidRDefault="0075624F" w:rsidP="0075624F">
      <w:pPr>
        <w:tabs>
          <w:tab w:val="num" w:pos="180"/>
        </w:tabs>
        <w:ind w:left="180" w:hanging="180"/>
        <w:jc w:val="both"/>
        <w:rPr>
          <w:b/>
          <w:bCs/>
          <w:szCs w:val="20"/>
        </w:rPr>
      </w:pPr>
    </w:p>
    <w:p w:rsidR="0075624F" w:rsidRPr="001E1A1C" w:rsidRDefault="0075624F" w:rsidP="0075624F">
      <w:pPr>
        <w:jc w:val="right"/>
        <w:rPr>
          <w:rFonts w:ascii="Arial Narrow" w:hAnsi="Arial Narrow"/>
          <w:b/>
          <w:bCs/>
          <w:sz w:val="22"/>
          <w:szCs w:val="22"/>
        </w:rPr>
      </w:pPr>
    </w:p>
    <w:p w:rsidR="0075624F" w:rsidRDefault="0075624F" w:rsidP="004A0D1B">
      <w:pPr>
        <w:jc w:val="center"/>
      </w:pPr>
    </w:p>
    <w:sectPr w:rsidR="0075624F" w:rsidSect="000E1E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44512"/>
    <w:multiLevelType w:val="multilevel"/>
    <w:tmpl w:val="771A95AA"/>
    <w:lvl w:ilvl="0">
      <w:start w:val="1"/>
      <w:numFmt w:val="decimal"/>
      <w:pStyle w:val="List-Ordered-Numeric"/>
      <w:lvlText w:val="%1."/>
      <w:lvlJc w:val="left"/>
      <w:pPr>
        <w:ind w:left="360" w:hanging="360"/>
      </w:pPr>
      <w:rPr>
        <w:rFonts w:ascii="Times New Roman" w:hAnsi="Times New Roman" w:hint="default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834361"/>
    <w:multiLevelType w:val="hybridMultilevel"/>
    <w:tmpl w:val="42A4E21C"/>
    <w:lvl w:ilvl="0" w:tplc="1104081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4B2056"/>
    <w:multiLevelType w:val="hybridMultilevel"/>
    <w:tmpl w:val="803619B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E3461A3"/>
    <w:multiLevelType w:val="hybridMultilevel"/>
    <w:tmpl w:val="63BC7C7C"/>
    <w:lvl w:ilvl="0" w:tplc="38080CD6">
      <w:start w:val="1"/>
      <w:numFmt w:val="bullet"/>
      <w:pStyle w:val="List-Unordered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savePreviewPicture/>
  <w:compat/>
  <w:rsids>
    <w:rsidRoot w:val="004A0D1B"/>
    <w:rsid w:val="000D0186"/>
    <w:rsid w:val="000E1E38"/>
    <w:rsid w:val="00156C19"/>
    <w:rsid w:val="00352367"/>
    <w:rsid w:val="00397475"/>
    <w:rsid w:val="004815EA"/>
    <w:rsid w:val="004A0D1B"/>
    <w:rsid w:val="00507B4C"/>
    <w:rsid w:val="00537EAB"/>
    <w:rsid w:val="00636577"/>
    <w:rsid w:val="00680753"/>
    <w:rsid w:val="0071786B"/>
    <w:rsid w:val="0075624F"/>
    <w:rsid w:val="00794BF4"/>
    <w:rsid w:val="007C62C1"/>
    <w:rsid w:val="008E3164"/>
    <w:rsid w:val="0094445B"/>
    <w:rsid w:val="00AC5471"/>
    <w:rsid w:val="00BE5007"/>
    <w:rsid w:val="00C12E1D"/>
    <w:rsid w:val="00C14774"/>
    <w:rsid w:val="00C761F8"/>
    <w:rsid w:val="00D54AE4"/>
    <w:rsid w:val="00E551FF"/>
    <w:rsid w:val="00E80E41"/>
    <w:rsid w:val="00EB51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locked="1" w:uiPriority="0" w:qFormat="1"/>
    <w:lsdException w:name="heading 5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footnote reference" w:uiPriority="0" w:qFormat="1"/>
    <w:lsdException w:name="Title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locked="1" w:uiPriority="39" w:qFormat="1"/>
  </w:latentStyles>
  <w:style w:type="paragraph" w:default="1" w:styleId="Normal">
    <w:name w:val="Normal"/>
    <w:qFormat/>
    <w:rsid w:val="00680753"/>
    <w:pPr>
      <w:spacing w:after="240"/>
    </w:pPr>
    <w:rPr>
      <w:sz w:val="20"/>
    </w:rPr>
  </w:style>
  <w:style w:type="paragraph" w:styleId="Heading1">
    <w:name w:val="heading 1"/>
    <w:basedOn w:val="Normal"/>
    <w:next w:val="Normal"/>
    <w:link w:val="Heading1Char"/>
    <w:unhideWhenUsed/>
    <w:qFormat/>
    <w:rsid w:val="00680753"/>
    <w:pPr>
      <w:keepNext/>
      <w:spacing w:before="240"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07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075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qFormat/>
    <w:rsid w:val="00680753"/>
    <w:pPr>
      <w:keepNext/>
      <w:overflowPunct w:val="0"/>
      <w:autoSpaceDE w:val="0"/>
      <w:autoSpaceDN w:val="0"/>
      <w:adjustRightInd w:val="0"/>
      <w:spacing w:after="0"/>
      <w:jc w:val="both"/>
      <w:textAlignment w:val="baseline"/>
      <w:outlineLvl w:val="4"/>
    </w:pPr>
    <w:rPr>
      <w:rFonts w:ascii="Arial" w:hAnsi="Arial"/>
      <w:b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80753"/>
    <w:rPr>
      <w:b/>
      <w:kern w:val="28"/>
      <w:sz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0753"/>
    <w:rPr>
      <w:rFonts w:ascii="Arial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0753"/>
    <w:rPr>
      <w:rFonts w:ascii="Arial" w:hAnsi="Arial" w:cs="Arial"/>
      <w:b/>
      <w:bCs/>
      <w:sz w:val="26"/>
      <w:szCs w:val="26"/>
    </w:rPr>
  </w:style>
  <w:style w:type="character" w:customStyle="1" w:styleId="Heading5Char">
    <w:name w:val="Heading 5 Char"/>
    <w:basedOn w:val="DefaultParagraphFont"/>
    <w:link w:val="Heading5"/>
    <w:rsid w:val="00680753"/>
    <w:rPr>
      <w:rFonts w:ascii="Arial" w:hAnsi="Arial"/>
      <w:b/>
      <w:sz w:val="18"/>
      <w:szCs w:val="20"/>
    </w:rPr>
  </w:style>
  <w:style w:type="character" w:styleId="FootnoteReference">
    <w:name w:val="footnote reference"/>
    <w:basedOn w:val="DefaultParagraphFont"/>
    <w:qFormat/>
    <w:rsid w:val="00680753"/>
    <w:rPr>
      <w:rFonts w:ascii="Times New Roman" w:hAnsi="Times New Roman"/>
      <w:sz w:val="24"/>
      <w:vertAlign w:val="superscript"/>
    </w:rPr>
  </w:style>
  <w:style w:type="paragraph" w:styleId="Title">
    <w:name w:val="Title"/>
    <w:basedOn w:val="Normal"/>
    <w:link w:val="TitleChar"/>
    <w:qFormat/>
    <w:rsid w:val="00680753"/>
    <w:pPr>
      <w:spacing w:after="360"/>
      <w:jc w:val="right"/>
    </w:pPr>
    <w:rPr>
      <w:b/>
      <w:kern w:val="28"/>
      <w:sz w:val="36"/>
    </w:rPr>
  </w:style>
  <w:style w:type="character" w:customStyle="1" w:styleId="TitleChar">
    <w:name w:val="Title Char"/>
    <w:basedOn w:val="DefaultParagraphFont"/>
    <w:link w:val="Title"/>
    <w:rsid w:val="00680753"/>
    <w:rPr>
      <w:b/>
      <w:kern w:val="28"/>
      <w:sz w:val="36"/>
    </w:rPr>
  </w:style>
  <w:style w:type="character" w:styleId="Hyperlink">
    <w:name w:val="Hyperlink"/>
    <w:basedOn w:val="DefaultParagraphFont"/>
    <w:uiPriority w:val="99"/>
    <w:qFormat/>
    <w:rsid w:val="00680753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680753"/>
    <w:rPr>
      <w:b/>
      <w:bCs/>
    </w:rPr>
  </w:style>
  <w:style w:type="character" w:styleId="Emphasis">
    <w:name w:val="Emphasis"/>
    <w:basedOn w:val="DefaultParagraphFont"/>
    <w:uiPriority w:val="20"/>
    <w:qFormat/>
    <w:rsid w:val="00680753"/>
    <w:rPr>
      <w:i/>
      <w:iCs/>
    </w:rPr>
  </w:style>
  <w:style w:type="paragraph" w:styleId="ListParagraph">
    <w:name w:val="List Paragraph"/>
    <w:basedOn w:val="Normal"/>
    <w:uiPriority w:val="34"/>
    <w:qFormat/>
    <w:rsid w:val="00680753"/>
    <w:pPr>
      <w:widowControl w:val="0"/>
      <w:spacing w:after="0"/>
      <w:ind w:left="720"/>
      <w:contextualSpacing/>
      <w:jc w:val="both"/>
    </w:pPr>
    <w:rPr>
      <w:sz w:val="24"/>
    </w:rPr>
  </w:style>
  <w:style w:type="paragraph" w:customStyle="1" w:styleId="Author">
    <w:name w:val="Author"/>
    <w:basedOn w:val="Normal"/>
    <w:qFormat/>
    <w:rsid w:val="00680753"/>
    <w:pPr>
      <w:spacing w:after="0" w:line="280" w:lineRule="exact"/>
      <w:jc w:val="right"/>
    </w:pPr>
    <w:rPr>
      <w:b/>
      <w:sz w:val="28"/>
    </w:rPr>
  </w:style>
  <w:style w:type="paragraph" w:customStyle="1" w:styleId="Affiliation">
    <w:name w:val="Affiliation"/>
    <w:basedOn w:val="Normal"/>
    <w:qFormat/>
    <w:rsid w:val="00680753"/>
    <w:pPr>
      <w:spacing w:line="240" w:lineRule="exact"/>
      <w:jc w:val="right"/>
    </w:pPr>
  </w:style>
  <w:style w:type="paragraph" w:customStyle="1" w:styleId="PaperNumber">
    <w:name w:val="Paper Number"/>
    <w:basedOn w:val="Normal"/>
    <w:next w:val="Author"/>
    <w:qFormat/>
    <w:rsid w:val="00680753"/>
    <w:pPr>
      <w:spacing w:after="280" w:line="280" w:lineRule="exact"/>
      <w:jc w:val="right"/>
    </w:pPr>
    <w:rPr>
      <w:b/>
      <w:sz w:val="28"/>
    </w:rPr>
  </w:style>
  <w:style w:type="paragraph" w:customStyle="1" w:styleId="Copyright">
    <w:name w:val="Copyright"/>
    <w:basedOn w:val="Normal"/>
    <w:qFormat/>
    <w:rsid w:val="00680753"/>
    <w:pPr>
      <w:spacing w:after="960" w:line="200" w:lineRule="exact"/>
    </w:pPr>
    <w:rPr>
      <w:sz w:val="16"/>
    </w:rPr>
  </w:style>
  <w:style w:type="paragraph" w:customStyle="1" w:styleId="Head1">
    <w:name w:val="Head1"/>
    <w:basedOn w:val="Normal"/>
    <w:qFormat/>
    <w:rsid w:val="00680753"/>
    <w:pPr>
      <w:keepNext/>
    </w:pPr>
    <w:rPr>
      <w:b/>
      <w:caps/>
      <w:sz w:val="28"/>
      <w:szCs w:val="28"/>
      <w:u w:val="single"/>
    </w:rPr>
  </w:style>
  <w:style w:type="paragraph" w:customStyle="1" w:styleId="Head3">
    <w:name w:val="Head3"/>
    <w:basedOn w:val="Normal"/>
    <w:next w:val="Normal"/>
    <w:qFormat/>
    <w:rsid w:val="00680753"/>
    <w:pPr>
      <w:keepNext/>
    </w:pPr>
    <w:rPr>
      <w:b/>
      <w:sz w:val="24"/>
      <w:szCs w:val="28"/>
      <w:u w:val="single"/>
    </w:rPr>
  </w:style>
  <w:style w:type="paragraph" w:customStyle="1" w:styleId="Head4">
    <w:name w:val="Head4"/>
    <w:basedOn w:val="Head3"/>
    <w:next w:val="Normal"/>
    <w:qFormat/>
    <w:rsid w:val="00680753"/>
    <w:rPr>
      <w:i/>
      <w:u w:val="none"/>
    </w:rPr>
  </w:style>
  <w:style w:type="paragraph" w:customStyle="1" w:styleId="List-Unordered">
    <w:name w:val="List-Unordered"/>
    <w:basedOn w:val="Normal"/>
    <w:qFormat/>
    <w:rsid w:val="00680753"/>
    <w:pPr>
      <w:numPr>
        <w:numId w:val="1"/>
      </w:numPr>
      <w:contextualSpacing/>
    </w:pPr>
  </w:style>
  <w:style w:type="paragraph" w:customStyle="1" w:styleId="List-Ordered-Numeric">
    <w:name w:val="List-Ordered-Numeric"/>
    <w:basedOn w:val="Normal"/>
    <w:qFormat/>
    <w:rsid w:val="00680753"/>
    <w:pPr>
      <w:numPr>
        <w:numId w:val="2"/>
      </w:numPr>
      <w:contextualSpacing/>
    </w:pPr>
  </w:style>
  <w:style w:type="paragraph" w:customStyle="1" w:styleId="Head2">
    <w:name w:val="Head2"/>
    <w:basedOn w:val="Normal"/>
    <w:next w:val="Normal"/>
    <w:qFormat/>
    <w:rsid w:val="00680753"/>
    <w:pPr>
      <w:keepNext/>
    </w:pPr>
    <w:rPr>
      <w:b/>
      <w:sz w:val="28"/>
      <w:szCs w:val="28"/>
    </w:rPr>
  </w:style>
  <w:style w:type="paragraph" w:customStyle="1" w:styleId="Equation">
    <w:name w:val="Equation"/>
    <w:basedOn w:val="Normal"/>
    <w:qFormat/>
    <w:rsid w:val="00680753"/>
    <w:pPr>
      <w:jc w:val="center"/>
    </w:pPr>
  </w:style>
  <w:style w:type="character" w:customStyle="1" w:styleId="Subscript">
    <w:name w:val="Subscript"/>
    <w:qFormat/>
    <w:rsid w:val="00680753"/>
    <w:rPr>
      <w:sz w:val="24"/>
      <w:vertAlign w:val="subscript"/>
    </w:rPr>
  </w:style>
  <w:style w:type="character" w:customStyle="1" w:styleId="Superscript">
    <w:name w:val="Superscript"/>
    <w:qFormat/>
    <w:rsid w:val="00680753"/>
    <w:rPr>
      <w:sz w:val="24"/>
      <w:vertAlign w:val="superscript"/>
    </w:rPr>
  </w:style>
  <w:style w:type="character" w:customStyle="1" w:styleId="Symbol">
    <w:name w:val="Symbol"/>
    <w:qFormat/>
    <w:rsid w:val="00680753"/>
    <w:rPr>
      <w:rFonts w:ascii="Symbol" w:hAnsi="Symbol"/>
    </w:rPr>
  </w:style>
  <w:style w:type="character" w:customStyle="1" w:styleId="Subscript-Italic">
    <w:name w:val="Subscript-Italic"/>
    <w:qFormat/>
    <w:rsid w:val="00680753"/>
    <w:rPr>
      <w:i/>
      <w:sz w:val="24"/>
      <w:vertAlign w:val="subscript"/>
    </w:rPr>
  </w:style>
  <w:style w:type="character" w:customStyle="1" w:styleId="Superscript-Italic">
    <w:name w:val="Superscript-Italic"/>
    <w:qFormat/>
    <w:rsid w:val="00680753"/>
    <w:rPr>
      <w:i/>
      <w:sz w:val="24"/>
      <w:vertAlign w:val="superscript"/>
    </w:rPr>
  </w:style>
  <w:style w:type="paragraph" w:customStyle="1" w:styleId="Monotype">
    <w:name w:val="Monotype"/>
    <w:basedOn w:val="Normal"/>
    <w:qFormat/>
    <w:rsid w:val="00680753"/>
    <w:rPr>
      <w:rFonts w:ascii="Courier New" w:hAnsi="Courier New"/>
    </w:rPr>
  </w:style>
  <w:style w:type="character" w:customStyle="1" w:styleId="TableNoteReference">
    <w:name w:val="Table Note Reference"/>
    <w:basedOn w:val="DefaultParagraphFont"/>
    <w:uiPriority w:val="1"/>
    <w:qFormat/>
    <w:rsid w:val="00680753"/>
    <w:rPr>
      <w:rFonts w:ascii="Times New Roman" w:hAnsi="Times New Roman"/>
      <w:i/>
      <w:sz w:val="16"/>
      <w:vertAlign w:val="superscript"/>
    </w:rPr>
  </w:style>
  <w:style w:type="character" w:customStyle="1" w:styleId="Emphasis-Bold">
    <w:name w:val="Emphasis-Bold"/>
    <w:basedOn w:val="DefaultParagraphFont"/>
    <w:qFormat/>
    <w:rsid w:val="00680753"/>
    <w:rPr>
      <w:b/>
    </w:rPr>
  </w:style>
  <w:style w:type="character" w:customStyle="1" w:styleId="Emphasis-Italic">
    <w:name w:val="Emphasis-Italic"/>
    <w:basedOn w:val="DefaultParagraphFont"/>
    <w:qFormat/>
    <w:rsid w:val="00680753"/>
    <w:rPr>
      <w:i/>
    </w:rPr>
  </w:style>
  <w:style w:type="character" w:customStyle="1" w:styleId="Emphasis-Underline">
    <w:name w:val="Emphasis-Underline"/>
    <w:basedOn w:val="DefaultParagraphFont"/>
    <w:qFormat/>
    <w:rsid w:val="00680753"/>
    <w:rPr>
      <w:u w:val="single"/>
    </w:rPr>
  </w:style>
  <w:style w:type="character" w:customStyle="1" w:styleId="Emphasis-Bold-Italic">
    <w:name w:val="Emphasis-Bold-Italic"/>
    <w:basedOn w:val="DefaultParagraphFont"/>
    <w:qFormat/>
    <w:rsid w:val="00680753"/>
    <w:rPr>
      <w:b/>
      <w:i/>
    </w:rPr>
  </w:style>
  <w:style w:type="paragraph" w:customStyle="1" w:styleId="TableNoteText">
    <w:name w:val="Table Note Text"/>
    <w:basedOn w:val="Normal"/>
    <w:next w:val="Normal"/>
    <w:qFormat/>
    <w:rsid w:val="00680753"/>
    <w:rPr>
      <w:sz w:val="16"/>
    </w:rPr>
  </w:style>
  <w:style w:type="paragraph" w:customStyle="1" w:styleId="Center">
    <w:name w:val="Center"/>
    <w:basedOn w:val="Normal"/>
    <w:next w:val="Normal"/>
    <w:qFormat/>
    <w:rsid w:val="00680753"/>
    <w:pPr>
      <w:jc w:val="center"/>
    </w:pPr>
  </w:style>
  <w:style w:type="paragraph" w:customStyle="1" w:styleId="Justified">
    <w:name w:val="Justified"/>
    <w:basedOn w:val="Normal"/>
    <w:qFormat/>
    <w:rsid w:val="00680753"/>
    <w:pPr>
      <w:jc w:val="both"/>
    </w:pPr>
  </w:style>
  <w:style w:type="paragraph" w:customStyle="1" w:styleId="DefinitionTerm">
    <w:name w:val="Definition Term"/>
    <w:basedOn w:val="Normal"/>
    <w:next w:val="Normal"/>
    <w:qFormat/>
    <w:rsid w:val="00680753"/>
    <w:pPr>
      <w:spacing w:after="0"/>
    </w:pPr>
    <w:rPr>
      <w:b/>
    </w:rPr>
  </w:style>
  <w:style w:type="paragraph" w:customStyle="1" w:styleId="Definition">
    <w:name w:val="Definition"/>
    <w:basedOn w:val="Normal"/>
    <w:next w:val="Normal"/>
    <w:qFormat/>
    <w:rsid w:val="00680753"/>
    <w:pPr>
      <w:ind w:left="720" w:right="720"/>
    </w:pPr>
  </w:style>
  <w:style w:type="paragraph" w:customStyle="1" w:styleId="Figure">
    <w:name w:val="Figure"/>
    <w:basedOn w:val="Normal"/>
    <w:next w:val="Normal"/>
    <w:qFormat/>
    <w:rsid w:val="00680753"/>
    <w:pPr>
      <w:keepNext/>
      <w:jc w:val="center"/>
    </w:pPr>
  </w:style>
  <w:style w:type="paragraph" w:customStyle="1" w:styleId="NormalTableText">
    <w:name w:val="Normal Table Text"/>
    <w:basedOn w:val="Normal"/>
    <w:qFormat/>
    <w:rsid w:val="00680753"/>
    <w:pPr>
      <w:spacing w:after="0"/>
    </w:pPr>
  </w:style>
  <w:style w:type="paragraph" w:customStyle="1" w:styleId="phmtitle">
    <w:name w:val="phm_title"/>
    <w:basedOn w:val="Normal"/>
    <w:qFormat/>
    <w:rsid w:val="00680753"/>
    <w:pPr>
      <w:spacing w:after="280"/>
      <w:jc w:val="center"/>
    </w:pPr>
    <w:rPr>
      <w:b/>
      <w:sz w:val="3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656</Words>
  <Characters>3742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Sony</cp:lastModifiedBy>
  <cp:revision>2</cp:revision>
  <dcterms:created xsi:type="dcterms:W3CDTF">2021-11-11T19:31:00Z</dcterms:created>
  <dcterms:modified xsi:type="dcterms:W3CDTF">2021-11-11T19:31:00Z</dcterms:modified>
</cp:coreProperties>
</file>