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62BF" w:rsidRPr="007862BF" w:rsidRDefault="007862BF" w:rsidP="007862BF">
      <w:pPr>
        <w:jc w:val="center"/>
        <w:rPr>
          <w:b/>
        </w:rPr>
      </w:pPr>
      <w:bookmarkStart w:id="0" w:name="_GoBack"/>
      <w:r w:rsidRPr="007862BF">
        <w:rPr>
          <w:b/>
        </w:rPr>
        <w:t>Invited Speaker</w:t>
      </w:r>
    </w:p>
    <w:bookmarkEnd w:id="0"/>
    <w:p w:rsidR="007862BF" w:rsidRDefault="007862BF" w:rsidP="00A46587">
      <w:pPr>
        <w:jc w:val="both"/>
        <w:rPr>
          <w:b/>
        </w:rPr>
      </w:pPr>
    </w:p>
    <w:p w:rsidR="00C04560" w:rsidRPr="00A46587" w:rsidRDefault="00A46587" w:rsidP="00A46587">
      <w:pPr>
        <w:jc w:val="both"/>
        <w:rPr>
          <w:b/>
        </w:rPr>
      </w:pPr>
      <w:r w:rsidRPr="00A46587">
        <w:rPr>
          <w:b/>
        </w:rPr>
        <w:t xml:space="preserve">Title </w:t>
      </w:r>
    </w:p>
    <w:p w:rsidR="00A46587" w:rsidRDefault="00A46587" w:rsidP="00A46587">
      <w:pPr>
        <w:jc w:val="both"/>
      </w:pPr>
      <w:r w:rsidRPr="00A46587">
        <w:t>Efficient Prediction of Missed Clinical Appointment Using Machine Learning</w:t>
      </w:r>
    </w:p>
    <w:p w:rsidR="00A46587" w:rsidRPr="00A46587" w:rsidRDefault="00A46587" w:rsidP="00A46587">
      <w:pPr>
        <w:jc w:val="both"/>
        <w:rPr>
          <w:b/>
        </w:rPr>
      </w:pPr>
      <w:r w:rsidRPr="00A46587">
        <w:rPr>
          <w:b/>
        </w:rPr>
        <w:t>Abstract</w:t>
      </w:r>
    </w:p>
    <w:p w:rsidR="00A46587" w:rsidRPr="00A46587" w:rsidRDefault="00A46587" w:rsidP="00A46587">
      <w:pPr>
        <w:jc w:val="both"/>
        <w:rPr>
          <w:b/>
        </w:rPr>
      </w:pPr>
      <w:r w:rsidRPr="00A46587">
        <w:t xml:space="preserve">Public health and its related facilities are crucial for thriving cities and societies. The optimum utilization of health resources saves money and time, but above all, it saves precious lives. It has become even more evident in the present as the pandemic has overstretched the existing medical resources. Specific to patient appointment scheduling, the casual attitude of missing medical appointments (no-show-ups) may cause severe damage to a patient’s health. In this paper, with the help of machine learning, we </w:t>
      </w:r>
      <w:proofErr w:type="spellStart"/>
      <w:r w:rsidRPr="00A46587">
        <w:t>analyze</w:t>
      </w:r>
      <w:proofErr w:type="spellEnd"/>
      <w:r w:rsidRPr="00A46587">
        <w:t xml:space="preserve"> six million plus patient appointment records to predict a patient’s </w:t>
      </w:r>
      <w:proofErr w:type="spellStart"/>
      <w:r w:rsidRPr="00A46587">
        <w:t>behaviors</w:t>
      </w:r>
      <w:proofErr w:type="spellEnd"/>
      <w:r w:rsidRPr="00A46587">
        <w:t>/characteristics by using ten different machine learning algorithms. For this purpose, we first extracted meaningful features from raw data using data cleaning. We applied Synthetic Minority Oversampling Technique (SMOTE), Adaptive Synthetic Sampling Method (</w:t>
      </w:r>
      <w:proofErr w:type="spellStart"/>
      <w:r w:rsidRPr="00A46587">
        <w:t>Adasyn</w:t>
      </w:r>
      <w:proofErr w:type="spellEnd"/>
      <w:r w:rsidRPr="00A46587">
        <w:t xml:space="preserve">), and random </w:t>
      </w:r>
      <w:proofErr w:type="spellStart"/>
      <w:r w:rsidRPr="00A46587">
        <w:t>undersampling</w:t>
      </w:r>
      <w:proofErr w:type="spellEnd"/>
      <w:r w:rsidRPr="00A46587">
        <w:t xml:space="preserve"> (RUS) to balance our data. After balancing, we applied ten different machine learning algorithms, namely, random forest classifier, decision tree, logistic regression, XG Boost, gradient boosting, </w:t>
      </w:r>
      <w:proofErr w:type="spellStart"/>
      <w:r w:rsidRPr="00A46587">
        <w:t>Adaboost</w:t>
      </w:r>
      <w:proofErr w:type="spellEnd"/>
      <w:r w:rsidRPr="00A46587">
        <w:t xml:space="preserve"> Classifier, Naive Bayes, stochastic gradient descent, multilayer perceptron, and Support Vector Machine. We </w:t>
      </w:r>
      <w:proofErr w:type="spellStart"/>
      <w:r w:rsidRPr="00A46587">
        <w:t>analyzed</w:t>
      </w:r>
      <w:proofErr w:type="spellEnd"/>
      <w:r w:rsidRPr="00A46587">
        <w:t xml:space="preserve"> these results with the help of six different metrics, i.e., recall, accuracy, precision, F1-score, area under the curve, and mean square error. Our study has achieved 94% recall, 86% accuracy, 83% precision, 87% F1-score, 92% area under the curve, and 0.106 minimum mean square error. Effectiveness of presented data cleaning and feature selection is confirmed by better results in all training algorithms. Notably, recall is greater than 75%, accuracy is greater than 73%, F1-score is more significant than 75%, MSE is lesser than 0.26, and AUC is greater than 74%. The research shows that instead of individual features, combining different features helps make better predictions of a patient’s appointment status.</w:t>
      </w:r>
    </w:p>
    <w:p w:rsidR="00A46587" w:rsidRDefault="00A46587" w:rsidP="00A46587">
      <w:pPr>
        <w:jc w:val="both"/>
        <w:rPr>
          <w:b/>
        </w:rPr>
      </w:pPr>
      <w:r w:rsidRPr="00A46587">
        <w:rPr>
          <w:b/>
        </w:rPr>
        <w:t xml:space="preserve">References </w:t>
      </w:r>
    </w:p>
    <w:p w:rsidR="00A46587" w:rsidRPr="00A46587" w:rsidRDefault="00A46587" w:rsidP="00A46587">
      <w:pPr>
        <w:pBdr>
          <w:top w:val="single" w:sz="6" w:space="17" w:color="E3E3E3"/>
        </w:pBdr>
        <w:spacing w:before="225" w:after="0" w:line="240" w:lineRule="auto"/>
        <w:jc w:val="both"/>
        <w:outlineLvl w:val="3"/>
        <w:rPr>
          <w:rFonts w:ascii="Arial" w:eastAsia="Times New Roman" w:hAnsi="Arial" w:cs="Arial"/>
          <w:b/>
          <w:bCs/>
          <w:color w:val="000000"/>
          <w:sz w:val="30"/>
          <w:szCs w:val="30"/>
          <w:lang w:eastAsia="en-GB"/>
        </w:rPr>
      </w:pPr>
      <w:r w:rsidRPr="00A46587">
        <w:rPr>
          <w:rFonts w:ascii="Arial" w:eastAsia="Times New Roman" w:hAnsi="Arial" w:cs="Arial"/>
          <w:b/>
          <w:bCs/>
          <w:color w:val="000000"/>
          <w:sz w:val="30"/>
          <w:szCs w:val="30"/>
          <w:lang w:eastAsia="en-GB"/>
        </w:rPr>
        <w:t>References</w:t>
      </w:r>
    </w:p>
    <w:p w:rsidR="00A46587" w:rsidRPr="00A46587" w:rsidRDefault="00A46587" w:rsidP="00A46587">
      <w:pPr>
        <w:numPr>
          <w:ilvl w:val="0"/>
          <w:numId w:val="1"/>
        </w:numPr>
        <w:spacing w:after="150" w:line="360" w:lineRule="atLeast"/>
        <w:ind w:left="0"/>
        <w:jc w:val="both"/>
        <w:rPr>
          <w:rFonts w:ascii="STIXGeneral-Regular" w:eastAsia="Times New Roman" w:hAnsi="STIXGeneral-Regular" w:cs="Times New Roman"/>
          <w:color w:val="000000"/>
          <w:sz w:val="24"/>
          <w:szCs w:val="24"/>
          <w:lang w:eastAsia="en-GB"/>
        </w:rPr>
      </w:pPr>
      <w:r w:rsidRPr="00A46587">
        <w:rPr>
          <w:rFonts w:ascii="STIXGeneral-Regular" w:eastAsia="Times New Roman" w:hAnsi="STIXGeneral-Regular" w:cs="Times New Roman"/>
          <w:color w:val="000000"/>
          <w:sz w:val="24"/>
          <w:szCs w:val="24"/>
          <w:lang w:eastAsia="en-GB"/>
        </w:rPr>
        <w:t xml:space="preserve">D. </w:t>
      </w:r>
      <w:proofErr w:type="spellStart"/>
      <w:r w:rsidRPr="00A46587">
        <w:rPr>
          <w:rFonts w:ascii="STIXGeneral-Regular" w:eastAsia="Times New Roman" w:hAnsi="STIXGeneral-Regular" w:cs="Times New Roman"/>
          <w:color w:val="000000"/>
          <w:sz w:val="24"/>
          <w:szCs w:val="24"/>
          <w:lang w:eastAsia="en-GB"/>
        </w:rPr>
        <w:t>Marbouh</w:t>
      </w:r>
      <w:proofErr w:type="spellEnd"/>
      <w:r w:rsidRPr="00A46587">
        <w:rPr>
          <w:rFonts w:ascii="STIXGeneral-Regular" w:eastAsia="Times New Roman" w:hAnsi="STIXGeneral-Regular" w:cs="Times New Roman"/>
          <w:color w:val="000000"/>
          <w:sz w:val="24"/>
          <w:szCs w:val="24"/>
          <w:lang w:eastAsia="en-GB"/>
        </w:rPr>
        <w:t xml:space="preserve">, I. </w:t>
      </w:r>
      <w:proofErr w:type="spellStart"/>
      <w:r w:rsidRPr="00A46587">
        <w:rPr>
          <w:rFonts w:ascii="STIXGeneral-Regular" w:eastAsia="Times New Roman" w:hAnsi="STIXGeneral-Regular" w:cs="Times New Roman"/>
          <w:color w:val="000000"/>
          <w:sz w:val="24"/>
          <w:szCs w:val="24"/>
          <w:lang w:eastAsia="en-GB"/>
        </w:rPr>
        <w:t>Khaleel</w:t>
      </w:r>
      <w:proofErr w:type="spellEnd"/>
      <w:r w:rsidRPr="00A46587">
        <w:rPr>
          <w:rFonts w:ascii="STIXGeneral-Regular" w:eastAsia="Times New Roman" w:hAnsi="STIXGeneral-Regular" w:cs="Times New Roman"/>
          <w:color w:val="000000"/>
          <w:sz w:val="24"/>
          <w:szCs w:val="24"/>
          <w:lang w:eastAsia="en-GB"/>
        </w:rPr>
        <w:t xml:space="preserve">, K. al </w:t>
      </w:r>
      <w:proofErr w:type="spellStart"/>
      <w:r w:rsidRPr="00A46587">
        <w:rPr>
          <w:rFonts w:ascii="STIXGeneral-Regular" w:eastAsia="Times New Roman" w:hAnsi="STIXGeneral-Regular" w:cs="Times New Roman"/>
          <w:color w:val="000000"/>
          <w:sz w:val="24"/>
          <w:szCs w:val="24"/>
          <w:lang w:eastAsia="en-GB"/>
        </w:rPr>
        <w:t>Shanqiti</w:t>
      </w:r>
      <w:proofErr w:type="spellEnd"/>
      <w:r w:rsidRPr="00A46587">
        <w:rPr>
          <w:rFonts w:ascii="STIXGeneral-Regular" w:eastAsia="Times New Roman" w:hAnsi="STIXGeneral-Regular" w:cs="Times New Roman"/>
          <w:color w:val="000000"/>
          <w:sz w:val="24"/>
          <w:szCs w:val="24"/>
          <w:lang w:eastAsia="en-GB"/>
        </w:rPr>
        <w:t xml:space="preserve"> et al., “Evaluating the impact of patient no-shows on service quality,” </w:t>
      </w:r>
      <w:r w:rsidRPr="00A46587">
        <w:rPr>
          <w:rFonts w:ascii="STIXGeneral-Regular" w:eastAsia="Times New Roman" w:hAnsi="STIXGeneral-Regular" w:cs="Times New Roman"/>
          <w:i/>
          <w:iCs/>
          <w:color w:val="000000"/>
          <w:sz w:val="24"/>
          <w:szCs w:val="24"/>
          <w:lang w:eastAsia="en-GB"/>
        </w:rPr>
        <w:t>Risk Management and Healthcare Policy</w:t>
      </w:r>
      <w:r>
        <w:rPr>
          <w:rFonts w:ascii="STIXGeneral-Regular" w:eastAsia="Times New Roman" w:hAnsi="STIXGeneral-Regular" w:cs="Times New Roman"/>
          <w:color w:val="000000"/>
          <w:sz w:val="24"/>
          <w:szCs w:val="24"/>
          <w:lang w:eastAsia="en-GB"/>
        </w:rPr>
        <w:t>, vol. 13, pp. 509–517, 2020.</w:t>
      </w:r>
      <w:r w:rsidRPr="00A46587">
        <w:rPr>
          <w:rFonts w:ascii="STIXGeneral-Regular" w:eastAsia="Times New Roman" w:hAnsi="STIXGeneral-Regular" w:cs="Times New Roman"/>
          <w:color w:val="000000"/>
          <w:sz w:val="24"/>
          <w:szCs w:val="24"/>
          <w:lang w:eastAsia="en-GB"/>
        </w:rPr>
        <w:t xml:space="preserve"> </w:t>
      </w:r>
    </w:p>
    <w:p w:rsidR="00A46587" w:rsidRPr="00A46587" w:rsidRDefault="00A46587" w:rsidP="00A46587">
      <w:pPr>
        <w:numPr>
          <w:ilvl w:val="0"/>
          <w:numId w:val="1"/>
        </w:numPr>
        <w:spacing w:after="150" w:line="360" w:lineRule="atLeast"/>
        <w:ind w:left="0"/>
        <w:jc w:val="both"/>
        <w:rPr>
          <w:rFonts w:ascii="STIXGeneral-Regular" w:eastAsia="Times New Roman" w:hAnsi="STIXGeneral-Regular" w:cs="Times New Roman"/>
          <w:color w:val="000000"/>
          <w:sz w:val="24"/>
          <w:szCs w:val="24"/>
          <w:lang w:eastAsia="en-GB"/>
        </w:rPr>
      </w:pPr>
      <w:r w:rsidRPr="00A46587">
        <w:rPr>
          <w:rFonts w:ascii="STIXGeneral-Regular" w:eastAsia="Times New Roman" w:hAnsi="STIXGeneral-Regular" w:cs="Times New Roman"/>
          <w:color w:val="000000"/>
          <w:sz w:val="24"/>
          <w:szCs w:val="24"/>
          <w:lang w:eastAsia="en-GB"/>
        </w:rPr>
        <w:t xml:space="preserve">T. </w:t>
      </w:r>
      <w:proofErr w:type="spellStart"/>
      <w:r w:rsidRPr="00A46587">
        <w:rPr>
          <w:rFonts w:ascii="STIXGeneral-Regular" w:eastAsia="Times New Roman" w:hAnsi="STIXGeneral-Regular" w:cs="Times New Roman"/>
          <w:color w:val="000000"/>
          <w:sz w:val="24"/>
          <w:szCs w:val="24"/>
          <w:lang w:eastAsia="en-GB"/>
        </w:rPr>
        <w:t>Molfenter</w:t>
      </w:r>
      <w:proofErr w:type="spellEnd"/>
      <w:r w:rsidRPr="00A46587">
        <w:rPr>
          <w:rFonts w:ascii="STIXGeneral-Regular" w:eastAsia="Times New Roman" w:hAnsi="STIXGeneral-Regular" w:cs="Times New Roman"/>
          <w:color w:val="000000"/>
          <w:sz w:val="24"/>
          <w:szCs w:val="24"/>
          <w:lang w:eastAsia="en-GB"/>
        </w:rPr>
        <w:t>, “Reducing appointment no-shows: going from theory to practice,” </w:t>
      </w:r>
      <w:r w:rsidRPr="00A46587">
        <w:rPr>
          <w:rFonts w:ascii="STIXGeneral-Regular" w:eastAsia="Times New Roman" w:hAnsi="STIXGeneral-Regular" w:cs="Times New Roman"/>
          <w:i/>
          <w:iCs/>
          <w:color w:val="000000"/>
          <w:sz w:val="24"/>
          <w:szCs w:val="24"/>
          <w:lang w:eastAsia="en-GB"/>
        </w:rPr>
        <w:t>Substance Use &amp; Misuse</w:t>
      </w:r>
      <w:r w:rsidRPr="00A46587">
        <w:rPr>
          <w:rFonts w:ascii="STIXGeneral-Regular" w:eastAsia="Times New Roman" w:hAnsi="STIXGeneral-Regular" w:cs="Times New Roman"/>
          <w:color w:val="000000"/>
          <w:sz w:val="24"/>
          <w:szCs w:val="24"/>
          <w:lang w:eastAsia="en-GB"/>
        </w:rPr>
        <w:t xml:space="preserve">, vol. 48, no. 9, pp. 743–749, 2013. </w:t>
      </w:r>
    </w:p>
    <w:p w:rsidR="00A46587" w:rsidRPr="00A46587" w:rsidRDefault="00A46587" w:rsidP="00A46587">
      <w:pPr>
        <w:numPr>
          <w:ilvl w:val="0"/>
          <w:numId w:val="1"/>
        </w:numPr>
        <w:spacing w:after="150" w:line="360" w:lineRule="atLeast"/>
        <w:ind w:left="0"/>
        <w:jc w:val="both"/>
        <w:rPr>
          <w:rFonts w:ascii="STIXGeneral-Regular" w:eastAsia="Times New Roman" w:hAnsi="STIXGeneral-Regular" w:cs="Times New Roman"/>
          <w:color w:val="000000"/>
          <w:sz w:val="24"/>
          <w:szCs w:val="24"/>
          <w:lang w:eastAsia="en-GB"/>
        </w:rPr>
      </w:pPr>
      <w:r w:rsidRPr="00A46587">
        <w:rPr>
          <w:rFonts w:ascii="STIXGeneral-Regular" w:eastAsia="Times New Roman" w:hAnsi="STIXGeneral-Regular" w:cs="Times New Roman"/>
          <w:color w:val="000000"/>
          <w:sz w:val="24"/>
          <w:szCs w:val="24"/>
          <w:lang w:eastAsia="en-GB"/>
        </w:rPr>
        <w:t>D. M. Allen, “Mean square error of prediction as a criterion for selecting variables,” </w:t>
      </w:r>
      <w:r w:rsidRPr="00A46587">
        <w:rPr>
          <w:rFonts w:ascii="STIXGeneral-Regular" w:eastAsia="Times New Roman" w:hAnsi="STIXGeneral-Regular" w:cs="Times New Roman"/>
          <w:i/>
          <w:iCs/>
          <w:color w:val="000000"/>
          <w:sz w:val="24"/>
          <w:szCs w:val="24"/>
          <w:lang w:eastAsia="en-GB"/>
        </w:rPr>
        <w:t>Techno Metrics</w:t>
      </w:r>
      <w:r w:rsidRPr="00A46587">
        <w:rPr>
          <w:rFonts w:ascii="STIXGeneral-Regular" w:eastAsia="Times New Roman" w:hAnsi="STIXGeneral-Regular" w:cs="Times New Roman"/>
          <w:color w:val="000000"/>
          <w:sz w:val="24"/>
          <w:szCs w:val="24"/>
          <w:lang w:eastAsia="en-GB"/>
        </w:rPr>
        <w:t xml:space="preserve">, vol. 13, no. 3, pp. 469–475, 1971. </w:t>
      </w:r>
    </w:p>
    <w:p w:rsidR="00A46587" w:rsidRPr="00A46587" w:rsidRDefault="00A46587" w:rsidP="00A46587">
      <w:pPr>
        <w:numPr>
          <w:ilvl w:val="0"/>
          <w:numId w:val="1"/>
        </w:numPr>
        <w:spacing w:after="150" w:line="360" w:lineRule="atLeast"/>
        <w:ind w:left="0"/>
        <w:jc w:val="both"/>
        <w:rPr>
          <w:rFonts w:ascii="STIXGeneral-Regular" w:eastAsia="Times New Roman" w:hAnsi="STIXGeneral-Regular" w:cs="Times New Roman"/>
          <w:color w:val="000000"/>
          <w:sz w:val="24"/>
          <w:szCs w:val="24"/>
          <w:lang w:eastAsia="en-GB"/>
        </w:rPr>
      </w:pPr>
      <w:r w:rsidRPr="00A46587">
        <w:rPr>
          <w:rFonts w:ascii="STIXGeneral-Regular" w:eastAsia="Times New Roman" w:hAnsi="STIXGeneral-Regular" w:cs="Times New Roman"/>
          <w:color w:val="000000"/>
          <w:sz w:val="24"/>
          <w:szCs w:val="24"/>
          <w:lang w:eastAsia="en-GB"/>
        </w:rPr>
        <w:t xml:space="preserve">J. Myerson, L. Green, and M. </w:t>
      </w:r>
      <w:proofErr w:type="spellStart"/>
      <w:r w:rsidRPr="00A46587">
        <w:rPr>
          <w:rFonts w:ascii="STIXGeneral-Regular" w:eastAsia="Times New Roman" w:hAnsi="STIXGeneral-Regular" w:cs="Times New Roman"/>
          <w:color w:val="000000"/>
          <w:sz w:val="24"/>
          <w:szCs w:val="24"/>
          <w:lang w:eastAsia="en-GB"/>
        </w:rPr>
        <w:t>Warusawitharana</w:t>
      </w:r>
      <w:proofErr w:type="spellEnd"/>
      <w:r w:rsidRPr="00A46587">
        <w:rPr>
          <w:rFonts w:ascii="STIXGeneral-Regular" w:eastAsia="Times New Roman" w:hAnsi="STIXGeneral-Regular" w:cs="Times New Roman"/>
          <w:color w:val="000000"/>
          <w:sz w:val="24"/>
          <w:szCs w:val="24"/>
          <w:lang w:eastAsia="en-GB"/>
        </w:rPr>
        <w:t>, “Area under the curve as a measure of discounting,” </w:t>
      </w:r>
      <w:r w:rsidRPr="00A46587">
        <w:rPr>
          <w:rFonts w:ascii="STIXGeneral-Regular" w:eastAsia="Times New Roman" w:hAnsi="STIXGeneral-Regular" w:cs="Times New Roman"/>
          <w:i/>
          <w:iCs/>
          <w:color w:val="000000"/>
          <w:sz w:val="24"/>
          <w:szCs w:val="24"/>
          <w:lang w:eastAsia="en-GB"/>
        </w:rPr>
        <w:t xml:space="preserve">Journal of the Experimental Analysis of </w:t>
      </w:r>
      <w:proofErr w:type="spellStart"/>
      <w:r w:rsidRPr="00A46587">
        <w:rPr>
          <w:rFonts w:ascii="STIXGeneral-Regular" w:eastAsia="Times New Roman" w:hAnsi="STIXGeneral-Regular" w:cs="Times New Roman"/>
          <w:i/>
          <w:iCs/>
          <w:color w:val="000000"/>
          <w:sz w:val="24"/>
          <w:szCs w:val="24"/>
          <w:lang w:eastAsia="en-GB"/>
        </w:rPr>
        <w:t>Behavior</w:t>
      </w:r>
      <w:proofErr w:type="spellEnd"/>
      <w:r w:rsidRPr="00A46587">
        <w:rPr>
          <w:rFonts w:ascii="STIXGeneral-Regular" w:eastAsia="Times New Roman" w:hAnsi="STIXGeneral-Regular" w:cs="Times New Roman"/>
          <w:color w:val="000000"/>
          <w:sz w:val="24"/>
          <w:szCs w:val="24"/>
          <w:lang w:eastAsia="en-GB"/>
        </w:rPr>
        <w:t xml:space="preserve">, vol. 76, no. 2, pp. 235–243, 2001. </w:t>
      </w:r>
    </w:p>
    <w:p w:rsidR="00A46587" w:rsidRPr="00A46587" w:rsidRDefault="00A46587" w:rsidP="00A46587">
      <w:pPr>
        <w:numPr>
          <w:ilvl w:val="0"/>
          <w:numId w:val="1"/>
        </w:numPr>
        <w:spacing w:before="150" w:after="150" w:line="360" w:lineRule="atLeast"/>
        <w:ind w:left="0"/>
        <w:jc w:val="both"/>
        <w:rPr>
          <w:rFonts w:ascii="STIXGeneral-Regular" w:eastAsia="Times New Roman" w:hAnsi="STIXGeneral-Regular" w:cs="Times New Roman"/>
          <w:color w:val="000000"/>
          <w:sz w:val="24"/>
          <w:szCs w:val="24"/>
          <w:lang w:eastAsia="en-GB"/>
        </w:rPr>
      </w:pPr>
      <w:r w:rsidRPr="00A46587">
        <w:rPr>
          <w:rFonts w:ascii="STIXGeneral-Regular" w:eastAsia="Times New Roman" w:hAnsi="STIXGeneral-Regular" w:cs="Times New Roman"/>
          <w:color w:val="000000"/>
          <w:sz w:val="24"/>
          <w:szCs w:val="24"/>
          <w:lang w:eastAsia="en-GB"/>
        </w:rPr>
        <w:lastRenderedPageBreak/>
        <w:t xml:space="preserve">J. V. Davis, B. </w:t>
      </w:r>
      <w:proofErr w:type="spellStart"/>
      <w:r w:rsidRPr="00A46587">
        <w:rPr>
          <w:rFonts w:ascii="STIXGeneral-Regular" w:eastAsia="Times New Roman" w:hAnsi="STIXGeneral-Regular" w:cs="Times New Roman"/>
          <w:color w:val="000000"/>
          <w:sz w:val="24"/>
          <w:szCs w:val="24"/>
          <w:lang w:eastAsia="en-GB"/>
        </w:rPr>
        <w:t>Kulis</w:t>
      </w:r>
      <w:proofErr w:type="spellEnd"/>
      <w:r w:rsidRPr="00A46587">
        <w:rPr>
          <w:rFonts w:ascii="STIXGeneral-Regular" w:eastAsia="Times New Roman" w:hAnsi="STIXGeneral-Regular" w:cs="Times New Roman"/>
          <w:color w:val="000000"/>
          <w:sz w:val="24"/>
          <w:szCs w:val="24"/>
          <w:lang w:eastAsia="en-GB"/>
        </w:rPr>
        <w:t xml:space="preserve">, P. Jain, S. Sra, and I. S. </w:t>
      </w:r>
      <w:proofErr w:type="spellStart"/>
      <w:r w:rsidRPr="00A46587">
        <w:rPr>
          <w:rFonts w:ascii="STIXGeneral-Regular" w:eastAsia="Times New Roman" w:hAnsi="STIXGeneral-Regular" w:cs="Times New Roman"/>
          <w:color w:val="000000"/>
          <w:sz w:val="24"/>
          <w:szCs w:val="24"/>
          <w:lang w:eastAsia="en-GB"/>
        </w:rPr>
        <w:t>Dhillon</w:t>
      </w:r>
      <w:proofErr w:type="spellEnd"/>
      <w:r w:rsidRPr="00A46587">
        <w:rPr>
          <w:rFonts w:ascii="STIXGeneral-Regular" w:eastAsia="Times New Roman" w:hAnsi="STIXGeneral-Regular" w:cs="Times New Roman"/>
          <w:color w:val="000000"/>
          <w:sz w:val="24"/>
          <w:szCs w:val="24"/>
          <w:lang w:eastAsia="en-GB"/>
        </w:rPr>
        <w:t>, “Information-theoretic metric learning,” in </w:t>
      </w:r>
      <w:r w:rsidRPr="00A46587">
        <w:rPr>
          <w:rFonts w:ascii="STIXGeneral-Regular" w:eastAsia="Times New Roman" w:hAnsi="STIXGeneral-Regular" w:cs="Times New Roman"/>
          <w:i/>
          <w:iCs/>
          <w:color w:val="000000"/>
          <w:sz w:val="24"/>
          <w:szCs w:val="24"/>
          <w:lang w:eastAsia="en-GB"/>
        </w:rPr>
        <w:t>Proceedings of the 24th international conference on Machine learning</w:t>
      </w:r>
      <w:r w:rsidRPr="00A46587">
        <w:rPr>
          <w:rFonts w:ascii="STIXGeneral-Regular" w:eastAsia="Times New Roman" w:hAnsi="STIXGeneral-Regular" w:cs="Times New Roman"/>
          <w:color w:val="000000"/>
          <w:sz w:val="24"/>
          <w:szCs w:val="24"/>
          <w:lang w:eastAsia="en-GB"/>
        </w:rPr>
        <w:t xml:space="preserve">, pp. 209–216, </w:t>
      </w:r>
      <w:proofErr w:type="spellStart"/>
      <w:r w:rsidRPr="00A46587">
        <w:rPr>
          <w:rFonts w:ascii="STIXGeneral-Regular" w:eastAsia="Times New Roman" w:hAnsi="STIXGeneral-Regular" w:cs="Times New Roman"/>
          <w:color w:val="000000"/>
          <w:sz w:val="24"/>
          <w:szCs w:val="24"/>
          <w:lang w:eastAsia="en-GB"/>
        </w:rPr>
        <w:t>Corvalis</w:t>
      </w:r>
      <w:proofErr w:type="spellEnd"/>
      <w:r w:rsidRPr="00A46587">
        <w:rPr>
          <w:rFonts w:ascii="STIXGeneral-Regular" w:eastAsia="Times New Roman" w:hAnsi="STIXGeneral-Regular" w:cs="Times New Roman"/>
          <w:color w:val="000000"/>
          <w:sz w:val="24"/>
          <w:szCs w:val="24"/>
          <w:lang w:eastAsia="en-GB"/>
        </w:rPr>
        <w:t xml:space="preserve">, Oregon, USA, 2007. </w:t>
      </w:r>
    </w:p>
    <w:p w:rsidR="00A46587" w:rsidRPr="00A46587" w:rsidRDefault="00A46587" w:rsidP="00A46587">
      <w:pPr>
        <w:numPr>
          <w:ilvl w:val="0"/>
          <w:numId w:val="1"/>
        </w:numPr>
        <w:spacing w:before="150" w:after="150" w:line="360" w:lineRule="atLeast"/>
        <w:ind w:left="0"/>
        <w:jc w:val="both"/>
        <w:rPr>
          <w:rFonts w:ascii="STIXGeneral-Regular" w:eastAsia="Times New Roman" w:hAnsi="STIXGeneral-Regular" w:cs="Times New Roman"/>
          <w:color w:val="000000"/>
          <w:sz w:val="24"/>
          <w:szCs w:val="24"/>
          <w:lang w:eastAsia="en-GB"/>
        </w:rPr>
      </w:pPr>
      <w:r w:rsidRPr="00A46587">
        <w:rPr>
          <w:rFonts w:ascii="STIXGeneral-Regular" w:eastAsia="Times New Roman" w:hAnsi="STIXGeneral-Regular" w:cs="Times New Roman"/>
          <w:color w:val="000000"/>
          <w:sz w:val="24"/>
          <w:szCs w:val="24"/>
          <w:lang w:eastAsia="en-GB"/>
        </w:rPr>
        <w:t>J. Huang and C. X. Ling, </w:t>
      </w:r>
      <w:r w:rsidRPr="00A46587">
        <w:rPr>
          <w:rFonts w:ascii="STIXGeneral-Regular" w:eastAsia="Times New Roman" w:hAnsi="STIXGeneral-Regular" w:cs="Times New Roman"/>
          <w:i/>
          <w:iCs/>
          <w:color w:val="000000"/>
          <w:sz w:val="24"/>
          <w:szCs w:val="24"/>
          <w:lang w:eastAsia="en-GB"/>
        </w:rPr>
        <w:t>Constructing New and Better Evaluation Measures for Machine Learning</w:t>
      </w:r>
      <w:r w:rsidRPr="00A46587">
        <w:rPr>
          <w:rFonts w:ascii="STIXGeneral-Regular" w:eastAsia="Times New Roman" w:hAnsi="STIXGeneral-Regular" w:cs="Times New Roman"/>
          <w:color w:val="000000"/>
          <w:sz w:val="24"/>
          <w:szCs w:val="24"/>
          <w:lang w:eastAsia="en-GB"/>
        </w:rPr>
        <w:t>, IJCAI, 2007.</w:t>
      </w:r>
    </w:p>
    <w:p w:rsidR="00A46587" w:rsidRPr="00A46587" w:rsidRDefault="00A46587" w:rsidP="00A46587">
      <w:pPr>
        <w:numPr>
          <w:ilvl w:val="0"/>
          <w:numId w:val="1"/>
        </w:numPr>
        <w:spacing w:before="150" w:after="150" w:line="360" w:lineRule="atLeast"/>
        <w:ind w:left="0"/>
        <w:jc w:val="both"/>
        <w:rPr>
          <w:rFonts w:ascii="STIXGeneral-Regular" w:eastAsia="Times New Roman" w:hAnsi="STIXGeneral-Regular" w:cs="Times New Roman"/>
          <w:color w:val="000000"/>
          <w:sz w:val="24"/>
          <w:szCs w:val="24"/>
          <w:lang w:eastAsia="en-GB"/>
        </w:rPr>
      </w:pPr>
      <w:r w:rsidRPr="00A46587">
        <w:rPr>
          <w:rFonts w:ascii="STIXGeneral-Regular" w:eastAsia="Times New Roman" w:hAnsi="STIXGeneral-Regular" w:cs="Times New Roman"/>
          <w:color w:val="000000"/>
          <w:sz w:val="24"/>
          <w:szCs w:val="24"/>
          <w:lang w:eastAsia="en-GB"/>
        </w:rPr>
        <w:t xml:space="preserve">A. </w:t>
      </w:r>
      <w:proofErr w:type="spellStart"/>
      <w:r w:rsidRPr="00A46587">
        <w:rPr>
          <w:rFonts w:ascii="STIXGeneral-Regular" w:eastAsia="Times New Roman" w:hAnsi="STIXGeneral-Regular" w:cs="Times New Roman"/>
          <w:color w:val="000000"/>
          <w:sz w:val="24"/>
          <w:szCs w:val="24"/>
          <w:lang w:eastAsia="en-GB"/>
        </w:rPr>
        <w:t>Rakotomamonjy</w:t>
      </w:r>
      <w:proofErr w:type="spellEnd"/>
      <w:r w:rsidRPr="00A46587">
        <w:rPr>
          <w:rFonts w:ascii="STIXGeneral-Regular" w:eastAsia="Times New Roman" w:hAnsi="STIXGeneral-Regular" w:cs="Times New Roman"/>
          <w:color w:val="000000"/>
          <w:sz w:val="24"/>
          <w:szCs w:val="24"/>
          <w:lang w:eastAsia="en-GB"/>
        </w:rPr>
        <w:t>, </w:t>
      </w:r>
      <w:r w:rsidRPr="00A46587">
        <w:rPr>
          <w:rFonts w:ascii="STIXGeneral-Regular" w:eastAsia="Times New Roman" w:hAnsi="STIXGeneral-Regular" w:cs="Times New Roman"/>
          <w:i/>
          <w:iCs/>
          <w:color w:val="000000"/>
          <w:sz w:val="24"/>
          <w:szCs w:val="24"/>
          <w:lang w:eastAsia="en-GB"/>
        </w:rPr>
        <w:t>Optimizing Area under Roc Curve with SVMs</w:t>
      </w:r>
      <w:r w:rsidRPr="00A46587">
        <w:rPr>
          <w:rFonts w:ascii="STIXGeneral-Regular" w:eastAsia="Times New Roman" w:hAnsi="STIXGeneral-Regular" w:cs="Times New Roman"/>
          <w:color w:val="000000"/>
          <w:sz w:val="24"/>
          <w:szCs w:val="24"/>
          <w:lang w:eastAsia="en-GB"/>
        </w:rPr>
        <w:t>, ROCAI, 2004.</w:t>
      </w:r>
    </w:p>
    <w:p w:rsidR="00A46587" w:rsidRPr="00A46587" w:rsidRDefault="00A46587" w:rsidP="00A46587">
      <w:pPr>
        <w:numPr>
          <w:ilvl w:val="0"/>
          <w:numId w:val="1"/>
        </w:numPr>
        <w:spacing w:before="150" w:after="150" w:line="360" w:lineRule="atLeast"/>
        <w:ind w:left="0"/>
        <w:jc w:val="both"/>
        <w:rPr>
          <w:rFonts w:ascii="STIXGeneral-Regular" w:eastAsia="Times New Roman" w:hAnsi="STIXGeneral-Regular" w:cs="Times New Roman"/>
          <w:color w:val="000000"/>
          <w:sz w:val="24"/>
          <w:szCs w:val="24"/>
          <w:lang w:eastAsia="en-GB"/>
        </w:rPr>
      </w:pPr>
      <w:r w:rsidRPr="00A46587">
        <w:rPr>
          <w:rFonts w:ascii="STIXGeneral-Regular" w:eastAsia="Times New Roman" w:hAnsi="STIXGeneral-Regular" w:cs="Times New Roman"/>
          <w:color w:val="000000"/>
          <w:sz w:val="24"/>
          <w:szCs w:val="24"/>
          <w:lang w:eastAsia="en-GB"/>
        </w:rPr>
        <w:t>D. J. Mac Kay and D. J. Mac Kay, </w:t>
      </w:r>
      <w:r w:rsidRPr="00A46587">
        <w:rPr>
          <w:rFonts w:ascii="STIXGeneral-Regular" w:eastAsia="Times New Roman" w:hAnsi="STIXGeneral-Regular" w:cs="Times New Roman"/>
          <w:i/>
          <w:iCs/>
          <w:color w:val="000000"/>
          <w:sz w:val="24"/>
          <w:szCs w:val="24"/>
          <w:lang w:eastAsia="en-GB"/>
        </w:rPr>
        <w:t>Information Theory, Inference and Learning Algorithms</w:t>
      </w:r>
      <w:r w:rsidRPr="00A46587">
        <w:rPr>
          <w:rFonts w:ascii="STIXGeneral-Regular" w:eastAsia="Times New Roman" w:hAnsi="STIXGeneral-Regular" w:cs="Times New Roman"/>
          <w:color w:val="000000"/>
          <w:sz w:val="24"/>
          <w:szCs w:val="24"/>
          <w:lang w:eastAsia="en-GB"/>
        </w:rPr>
        <w:t>, Cambridge University Press, 2003.</w:t>
      </w:r>
    </w:p>
    <w:p w:rsidR="00A46587" w:rsidRPr="00A46587" w:rsidRDefault="00A46587" w:rsidP="00A46587">
      <w:pPr>
        <w:numPr>
          <w:ilvl w:val="0"/>
          <w:numId w:val="1"/>
        </w:numPr>
        <w:spacing w:after="150" w:line="360" w:lineRule="atLeast"/>
        <w:ind w:left="0"/>
        <w:jc w:val="both"/>
        <w:rPr>
          <w:rFonts w:ascii="STIXGeneral-Regular" w:eastAsia="Times New Roman" w:hAnsi="STIXGeneral-Regular" w:cs="Times New Roman"/>
          <w:color w:val="000000"/>
          <w:sz w:val="24"/>
          <w:szCs w:val="24"/>
          <w:lang w:eastAsia="en-GB"/>
        </w:rPr>
      </w:pPr>
      <w:r w:rsidRPr="00A46587">
        <w:rPr>
          <w:rFonts w:ascii="STIXGeneral-Regular" w:eastAsia="Times New Roman" w:hAnsi="STIXGeneral-Regular" w:cs="Times New Roman"/>
          <w:color w:val="000000"/>
          <w:sz w:val="24"/>
          <w:szCs w:val="24"/>
          <w:lang w:eastAsia="en-GB"/>
        </w:rPr>
        <w:t xml:space="preserve">S. </w:t>
      </w:r>
      <w:proofErr w:type="spellStart"/>
      <w:r w:rsidRPr="00A46587">
        <w:rPr>
          <w:rFonts w:ascii="STIXGeneral-Regular" w:eastAsia="Times New Roman" w:hAnsi="STIXGeneral-Regular" w:cs="Times New Roman"/>
          <w:color w:val="000000"/>
          <w:sz w:val="24"/>
          <w:szCs w:val="24"/>
          <w:lang w:eastAsia="en-GB"/>
        </w:rPr>
        <w:t>García</w:t>
      </w:r>
      <w:proofErr w:type="spellEnd"/>
      <w:r w:rsidRPr="00A46587">
        <w:rPr>
          <w:rFonts w:ascii="STIXGeneral-Regular" w:eastAsia="Times New Roman" w:hAnsi="STIXGeneral-Regular" w:cs="Times New Roman"/>
          <w:color w:val="000000"/>
          <w:sz w:val="24"/>
          <w:szCs w:val="24"/>
          <w:lang w:eastAsia="en-GB"/>
        </w:rPr>
        <w:t xml:space="preserve"> and F. Herrera, “Evolutionary training set selection to optimize c4. 5 in imbalanced problems,” in </w:t>
      </w:r>
      <w:r w:rsidRPr="00A46587">
        <w:rPr>
          <w:rFonts w:ascii="STIXGeneral-Regular" w:eastAsia="Times New Roman" w:hAnsi="STIXGeneral-Regular" w:cs="Times New Roman"/>
          <w:i/>
          <w:iCs/>
          <w:color w:val="000000"/>
          <w:sz w:val="24"/>
          <w:szCs w:val="24"/>
          <w:lang w:eastAsia="en-GB"/>
        </w:rPr>
        <w:t>2008 Eighth International Conference on Hybrid Intelligent Systems</w:t>
      </w:r>
      <w:r w:rsidRPr="00A46587">
        <w:rPr>
          <w:rFonts w:ascii="STIXGeneral-Regular" w:eastAsia="Times New Roman" w:hAnsi="STIXGeneral-Regular" w:cs="Times New Roman"/>
          <w:color w:val="000000"/>
          <w:sz w:val="24"/>
          <w:szCs w:val="24"/>
          <w:lang w:eastAsia="en-GB"/>
        </w:rPr>
        <w:t xml:space="preserve">, pp. 567–572, Barcelona, Spain, 2008. </w:t>
      </w:r>
    </w:p>
    <w:p w:rsidR="00A46587" w:rsidRPr="00A46587" w:rsidRDefault="00A46587" w:rsidP="00A46587">
      <w:pPr>
        <w:numPr>
          <w:ilvl w:val="0"/>
          <w:numId w:val="1"/>
        </w:numPr>
        <w:spacing w:after="150" w:line="360" w:lineRule="atLeast"/>
        <w:ind w:left="0"/>
        <w:jc w:val="both"/>
        <w:rPr>
          <w:rFonts w:ascii="STIXGeneral-Regular" w:eastAsia="Times New Roman" w:hAnsi="STIXGeneral-Regular" w:cs="Times New Roman"/>
          <w:color w:val="000000"/>
          <w:sz w:val="24"/>
          <w:szCs w:val="24"/>
          <w:lang w:eastAsia="en-GB"/>
        </w:rPr>
      </w:pPr>
      <w:r w:rsidRPr="00A46587">
        <w:rPr>
          <w:rFonts w:ascii="STIXGeneral-Regular" w:eastAsia="Times New Roman" w:hAnsi="STIXGeneral-Regular" w:cs="Times New Roman"/>
          <w:color w:val="000000"/>
          <w:sz w:val="24"/>
          <w:szCs w:val="24"/>
          <w:lang w:eastAsia="en-GB"/>
        </w:rPr>
        <w:t xml:space="preserve">M. </w:t>
      </w:r>
      <w:proofErr w:type="spellStart"/>
      <w:r w:rsidRPr="00A46587">
        <w:rPr>
          <w:rFonts w:ascii="STIXGeneral-Regular" w:eastAsia="Times New Roman" w:hAnsi="STIXGeneral-Regular" w:cs="Times New Roman"/>
          <w:color w:val="000000"/>
          <w:sz w:val="24"/>
          <w:szCs w:val="24"/>
          <w:lang w:eastAsia="en-GB"/>
        </w:rPr>
        <w:t>Hossin</w:t>
      </w:r>
      <w:proofErr w:type="spellEnd"/>
      <w:r w:rsidRPr="00A46587">
        <w:rPr>
          <w:rFonts w:ascii="STIXGeneral-Regular" w:eastAsia="Times New Roman" w:hAnsi="STIXGeneral-Regular" w:cs="Times New Roman"/>
          <w:color w:val="000000"/>
          <w:sz w:val="24"/>
          <w:szCs w:val="24"/>
          <w:lang w:eastAsia="en-GB"/>
        </w:rPr>
        <w:t xml:space="preserve">, M. </w:t>
      </w:r>
      <w:proofErr w:type="spellStart"/>
      <w:r w:rsidRPr="00A46587">
        <w:rPr>
          <w:rFonts w:ascii="STIXGeneral-Regular" w:eastAsia="Times New Roman" w:hAnsi="STIXGeneral-Regular" w:cs="Times New Roman"/>
          <w:color w:val="000000"/>
          <w:sz w:val="24"/>
          <w:szCs w:val="24"/>
          <w:lang w:eastAsia="en-GB"/>
        </w:rPr>
        <w:t>Sulaiman</w:t>
      </w:r>
      <w:proofErr w:type="spellEnd"/>
      <w:r w:rsidRPr="00A46587">
        <w:rPr>
          <w:rFonts w:ascii="STIXGeneral-Regular" w:eastAsia="Times New Roman" w:hAnsi="STIXGeneral-Regular" w:cs="Times New Roman"/>
          <w:color w:val="000000"/>
          <w:sz w:val="24"/>
          <w:szCs w:val="24"/>
          <w:lang w:eastAsia="en-GB"/>
        </w:rPr>
        <w:t xml:space="preserve">, A. Mustapha, N. Mustapha, and R. </w:t>
      </w:r>
      <w:proofErr w:type="spellStart"/>
      <w:r w:rsidRPr="00A46587">
        <w:rPr>
          <w:rFonts w:ascii="STIXGeneral-Regular" w:eastAsia="Times New Roman" w:hAnsi="STIXGeneral-Regular" w:cs="Times New Roman"/>
          <w:color w:val="000000"/>
          <w:sz w:val="24"/>
          <w:szCs w:val="24"/>
          <w:lang w:eastAsia="en-GB"/>
        </w:rPr>
        <w:t>Rahmat</w:t>
      </w:r>
      <w:proofErr w:type="spellEnd"/>
      <w:r w:rsidRPr="00A46587">
        <w:rPr>
          <w:rFonts w:ascii="STIXGeneral-Regular" w:eastAsia="Times New Roman" w:hAnsi="STIXGeneral-Regular" w:cs="Times New Roman"/>
          <w:color w:val="000000"/>
          <w:sz w:val="24"/>
          <w:szCs w:val="24"/>
          <w:lang w:eastAsia="en-GB"/>
        </w:rPr>
        <w:t>, “A hybrid evaluation metric for optimizing classifier,” in </w:t>
      </w:r>
      <w:r w:rsidRPr="00A46587">
        <w:rPr>
          <w:rFonts w:ascii="STIXGeneral-Regular" w:eastAsia="Times New Roman" w:hAnsi="STIXGeneral-Regular" w:cs="Times New Roman"/>
          <w:i/>
          <w:iCs/>
          <w:color w:val="000000"/>
          <w:sz w:val="24"/>
          <w:szCs w:val="24"/>
          <w:lang w:eastAsia="en-GB"/>
        </w:rPr>
        <w:t>2011 3rd Conference on Data Mining and Optimization (DMO)</w:t>
      </w:r>
      <w:r w:rsidRPr="00A46587">
        <w:rPr>
          <w:rFonts w:ascii="STIXGeneral-Regular" w:eastAsia="Times New Roman" w:hAnsi="STIXGeneral-Regular" w:cs="Times New Roman"/>
          <w:color w:val="000000"/>
          <w:sz w:val="24"/>
          <w:szCs w:val="24"/>
          <w:lang w:eastAsia="en-GB"/>
        </w:rPr>
        <w:t xml:space="preserve">, pp. 165–170, 2011. </w:t>
      </w:r>
    </w:p>
    <w:p w:rsidR="00A46587" w:rsidRPr="00A46587" w:rsidRDefault="00A46587" w:rsidP="00A46587">
      <w:pPr>
        <w:numPr>
          <w:ilvl w:val="0"/>
          <w:numId w:val="1"/>
        </w:numPr>
        <w:spacing w:after="150" w:line="360" w:lineRule="atLeast"/>
        <w:ind w:left="0"/>
        <w:jc w:val="both"/>
        <w:rPr>
          <w:rFonts w:ascii="STIXGeneral-Regular" w:eastAsia="Times New Roman" w:hAnsi="STIXGeneral-Regular" w:cs="Times New Roman"/>
          <w:color w:val="000000"/>
          <w:sz w:val="24"/>
          <w:szCs w:val="24"/>
          <w:lang w:eastAsia="en-GB"/>
        </w:rPr>
      </w:pPr>
      <w:r w:rsidRPr="00A46587">
        <w:rPr>
          <w:rFonts w:ascii="STIXGeneral-Regular" w:eastAsia="Times New Roman" w:hAnsi="STIXGeneral-Regular" w:cs="Times New Roman"/>
          <w:color w:val="000000"/>
          <w:sz w:val="24"/>
          <w:szCs w:val="24"/>
          <w:lang w:eastAsia="en-GB"/>
        </w:rPr>
        <w:t xml:space="preserve">R. </w:t>
      </w:r>
      <w:proofErr w:type="spellStart"/>
      <w:r w:rsidRPr="00A46587">
        <w:rPr>
          <w:rFonts w:ascii="STIXGeneral-Regular" w:eastAsia="Times New Roman" w:hAnsi="STIXGeneral-Regular" w:cs="Times New Roman"/>
          <w:color w:val="000000"/>
          <w:sz w:val="24"/>
          <w:szCs w:val="24"/>
          <w:lang w:eastAsia="en-GB"/>
        </w:rPr>
        <w:t>Ranawana</w:t>
      </w:r>
      <w:proofErr w:type="spellEnd"/>
      <w:r w:rsidRPr="00A46587">
        <w:rPr>
          <w:rFonts w:ascii="STIXGeneral-Regular" w:eastAsia="Times New Roman" w:hAnsi="STIXGeneral-Regular" w:cs="Times New Roman"/>
          <w:color w:val="000000"/>
          <w:sz w:val="24"/>
          <w:szCs w:val="24"/>
          <w:lang w:eastAsia="en-GB"/>
        </w:rPr>
        <w:t xml:space="preserve"> and V. Palade, “Optimized precision-a new measure for classifier performance evaluation,” in </w:t>
      </w:r>
      <w:r w:rsidRPr="00A46587">
        <w:rPr>
          <w:rFonts w:ascii="STIXGeneral-Regular" w:eastAsia="Times New Roman" w:hAnsi="STIXGeneral-Regular" w:cs="Times New Roman"/>
          <w:i/>
          <w:iCs/>
          <w:color w:val="000000"/>
          <w:sz w:val="24"/>
          <w:szCs w:val="24"/>
          <w:lang w:eastAsia="en-GB"/>
        </w:rPr>
        <w:t>2006 IEEE International Conference on Evolutionary Computation</w:t>
      </w:r>
      <w:r w:rsidRPr="00A46587">
        <w:rPr>
          <w:rFonts w:ascii="STIXGeneral-Regular" w:eastAsia="Times New Roman" w:hAnsi="STIXGeneral-Regular" w:cs="Times New Roman"/>
          <w:color w:val="000000"/>
          <w:sz w:val="24"/>
          <w:szCs w:val="24"/>
          <w:lang w:eastAsia="en-GB"/>
        </w:rPr>
        <w:t xml:space="preserve">, pp. 2254–2261, Vancouver, BC, Canada, 2006. </w:t>
      </w:r>
    </w:p>
    <w:p w:rsidR="00A46587" w:rsidRPr="00A46587" w:rsidRDefault="00A46587" w:rsidP="00A46587">
      <w:pPr>
        <w:numPr>
          <w:ilvl w:val="0"/>
          <w:numId w:val="1"/>
        </w:numPr>
        <w:spacing w:before="150" w:after="150" w:line="360" w:lineRule="atLeast"/>
        <w:ind w:left="0"/>
        <w:jc w:val="both"/>
        <w:rPr>
          <w:rFonts w:ascii="STIXGeneral-Regular" w:eastAsia="Times New Roman" w:hAnsi="STIXGeneral-Regular" w:cs="Times New Roman"/>
          <w:color w:val="000000"/>
          <w:sz w:val="24"/>
          <w:szCs w:val="24"/>
          <w:lang w:eastAsia="en-GB"/>
        </w:rPr>
      </w:pPr>
      <w:r w:rsidRPr="00A46587">
        <w:rPr>
          <w:rFonts w:ascii="STIXGeneral-Regular" w:eastAsia="Times New Roman" w:hAnsi="STIXGeneral-Regular" w:cs="Times New Roman"/>
          <w:color w:val="000000"/>
          <w:sz w:val="24"/>
          <w:szCs w:val="24"/>
          <w:lang w:eastAsia="en-GB"/>
        </w:rPr>
        <w:t>S. W. Wilson, “Mining oblique data with XCS,” in </w:t>
      </w:r>
      <w:r w:rsidRPr="00A46587">
        <w:rPr>
          <w:rFonts w:ascii="STIXGeneral-Regular" w:eastAsia="Times New Roman" w:hAnsi="STIXGeneral-Regular" w:cs="Times New Roman"/>
          <w:i/>
          <w:iCs/>
          <w:color w:val="000000"/>
          <w:sz w:val="24"/>
          <w:szCs w:val="24"/>
          <w:lang w:eastAsia="en-GB"/>
        </w:rPr>
        <w:t>International Workshop on Learning Classifier Systems</w:t>
      </w:r>
      <w:r w:rsidRPr="00A46587">
        <w:rPr>
          <w:rFonts w:ascii="STIXGeneral-Regular" w:eastAsia="Times New Roman" w:hAnsi="STIXGeneral-Regular" w:cs="Times New Roman"/>
          <w:color w:val="000000"/>
          <w:sz w:val="24"/>
          <w:szCs w:val="24"/>
          <w:lang w:eastAsia="en-GB"/>
        </w:rPr>
        <w:t xml:space="preserve">, pp. 158–174, Springer, 2000. </w:t>
      </w:r>
    </w:p>
    <w:p w:rsidR="00A46587" w:rsidRPr="00A46587" w:rsidRDefault="00A46587" w:rsidP="00A46587">
      <w:pPr>
        <w:numPr>
          <w:ilvl w:val="0"/>
          <w:numId w:val="1"/>
        </w:numPr>
        <w:spacing w:after="150" w:line="360" w:lineRule="atLeast"/>
        <w:ind w:left="0"/>
        <w:jc w:val="both"/>
        <w:rPr>
          <w:rFonts w:ascii="STIXGeneral-Regular" w:eastAsia="Times New Roman" w:hAnsi="STIXGeneral-Regular" w:cs="Times New Roman"/>
          <w:color w:val="000000"/>
          <w:sz w:val="24"/>
          <w:szCs w:val="24"/>
          <w:lang w:eastAsia="en-GB"/>
        </w:rPr>
      </w:pPr>
      <w:r w:rsidRPr="00A46587">
        <w:rPr>
          <w:rFonts w:ascii="STIXGeneral-Regular" w:eastAsia="Times New Roman" w:hAnsi="STIXGeneral-Regular" w:cs="Times New Roman"/>
          <w:color w:val="000000"/>
          <w:sz w:val="24"/>
          <w:szCs w:val="24"/>
          <w:lang w:eastAsia="en-GB"/>
        </w:rPr>
        <w:t xml:space="preserve">M. Buckland and F. </w:t>
      </w:r>
      <w:proofErr w:type="spellStart"/>
      <w:r w:rsidRPr="00A46587">
        <w:rPr>
          <w:rFonts w:ascii="STIXGeneral-Regular" w:eastAsia="Times New Roman" w:hAnsi="STIXGeneral-Regular" w:cs="Times New Roman"/>
          <w:color w:val="000000"/>
          <w:sz w:val="24"/>
          <w:szCs w:val="24"/>
          <w:lang w:eastAsia="en-GB"/>
        </w:rPr>
        <w:t>Gey</w:t>
      </w:r>
      <w:proofErr w:type="spellEnd"/>
      <w:r w:rsidRPr="00A46587">
        <w:rPr>
          <w:rFonts w:ascii="STIXGeneral-Regular" w:eastAsia="Times New Roman" w:hAnsi="STIXGeneral-Regular" w:cs="Times New Roman"/>
          <w:color w:val="000000"/>
          <w:sz w:val="24"/>
          <w:szCs w:val="24"/>
          <w:lang w:eastAsia="en-GB"/>
        </w:rPr>
        <w:t>, “The relationship between recall and precision,” </w:t>
      </w:r>
      <w:r w:rsidRPr="00A46587">
        <w:rPr>
          <w:rFonts w:ascii="STIXGeneral-Regular" w:eastAsia="Times New Roman" w:hAnsi="STIXGeneral-Regular" w:cs="Times New Roman"/>
          <w:i/>
          <w:iCs/>
          <w:color w:val="000000"/>
          <w:sz w:val="24"/>
          <w:szCs w:val="24"/>
          <w:lang w:eastAsia="en-GB"/>
        </w:rPr>
        <w:t>Journal of the American Society for Information Science</w:t>
      </w:r>
      <w:r w:rsidRPr="00A46587">
        <w:rPr>
          <w:rFonts w:ascii="STIXGeneral-Regular" w:eastAsia="Times New Roman" w:hAnsi="STIXGeneral-Regular" w:cs="Times New Roman"/>
          <w:color w:val="000000"/>
          <w:sz w:val="24"/>
          <w:szCs w:val="24"/>
          <w:lang w:eastAsia="en-GB"/>
        </w:rPr>
        <w:t xml:space="preserve">, vol. 45, no. 1, pp. 12–19, 1994. </w:t>
      </w:r>
    </w:p>
    <w:p w:rsidR="00A46587" w:rsidRPr="00A46587" w:rsidRDefault="00A46587" w:rsidP="00A46587">
      <w:pPr>
        <w:numPr>
          <w:ilvl w:val="0"/>
          <w:numId w:val="1"/>
        </w:numPr>
        <w:spacing w:before="150" w:after="150" w:line="360" w:lineRule="atLeast"/>
        <w:ind w:left="0"/>
        <w:jc w:val="both"/>
        <w:rPr>
          <w:rFonts w:ascii="STIXGeneral-Regular" w:eastAsia="Times New Roman" w:hAnsi="STIXGeneral-Regular" w:cs="Times New Roman"/>
          <w:color w:val="000000"/>
          <w:sz w:val="24"/>
          <w:szCs w:val="24"/>
          <w:lang w:eastAsia="en-GB"/>
        </w:rPr>
      </w:pPr>
      <w:r w:rsidRPr="00A46587">
        <w:rPr>
          <w:rFonts w:ascii="STIXGeneral-Regular" w:eastAsia="Times New Roman" w:hAnsi="STIXGeneral-Regular" w:cs="Times New Roman"/>
          <w:color w:val="000000"/>
          <w:sz w:val="24"/>
          <w:szCs w:val="24"/>
          <w:lang w:eastAsia="en-GB"/>
        </w:rPr>
        <w:t xml:space="preserve">T. </w:t>
      </w:r>
      <w:proofErr w:type="spellStart"/>
      <w:r w:rsidRPr="00A46587">
        <w:rPr>
          <w:rFonts w:ascii="STIXGeneral-Regular" w:eastAsia="Times New Roman" w:hAnsi="STIXGeneral-Regular" w:cs="Times New Roman"/>
          <w:color w:val="000000"/>
          <w:sz w:val="24"/>
          <w:szCs w:val="24"/>
          <w:lang w:eastAsia="en-GB"/>
        </w:rPr>
        <w:t>Kohonen</w:t>
      </w:r>
      <w:proofErr w:type="spellEnd"/>
      <w:r w:rsidRPr="00A46587">
        <w:rPr>
          <w:rFonts w:ascii="STIXGeneral-Regular" w:eastAsia="Times New Roman" w:hAnsi="STIXGeneral-Regular" w:cs="Times New Roman"/>
          <w:color w:val="000000"/>
          <w:sz w:val="24"/>
          <w:szCs w:val="24"/>
          <w:lang w:eastAsia="en-GB"/>
        </w:rPr>
        <w:t>, </w:t>
      </w:r>
      <w:r w:rsidRPr="00A46587">
        <w:rPr>
          <w:rFonts w:ascii="STIXGeneral-Regular" w:eastAsia="Times New Roman" w:hAnsi="STIXGeneral-Regular" w:cs="Times New Roman"/>
          <w:i/>
          <w:iCs/>
          <w:color w:val="000000"/>
          <w:sz w:val="24"/>
          <w:szCs w:val="24"/>
          <w:lang w:eastAsia="en-GB"/>
        </w:rPr>
        <w:t>Self-Organizing Maps, vol. 30</w:t>
      </w:r>
      <w:r w:rsidRPr="00A46587">
        <w:rPr>
          <w:rFonts w:ascii="STIXGeneral-Regular" w:eastAsia="Times New Roman" w:hAnsi="STIXGeneral-Regular" w:cs="Times New Roman"/>
          <w:color w:val="000000"/>
          <w:sz w:val="24"/>
          <w:szCs w:val="24"/>
          <w:lang w:eastAsia="en-GB"/>
        </w:rPr>
        <w:t>, Springer Science &amp; Business Media, 2012.</w:t>
      </w:r>
    </w:p>
    <w:p w:rsidR="00A46587" w:rsidRDefault="00A46587" w:rsidP="00A46587">
      <w:pPr>
        <w:numPr>
          <w:ilvl w:val="0"/>
          <w:numId w:val="1"/>
        </w:numPr>
        <w:spacing w:after="150" w:line="360" w:lineRule="atLeast"/>
        <w:ind w:left="0"/>
        <w:jc w:val="both"/>
        <w:rPr>
          <w:rFonts w:ascii="STIXGeneral-Regular" w:eastAsia="Times New Roman" w:hAnsi="STIXGeneral-Regular" w:cs="Times New Roman"/>
          <w:color w:val="000000"/>
          <w:sz w:val="24"/>
          <w:szCs w:val="24"/>
          <w:lang w:eastAsia="en-GB"/>
        </w:rPr>
      </w:pPr>
      <w:r w:rsidRPr="00A46587">
        <w:rPr>
          <w:rFonts w:ascii="STIXGeneral-Regular" w:eastAsia="Times New Roman" w:hAnsi="STIXGeneral-Regular" w:cs="Times New Roman"/>
          <w:color w:val="000000"/>
          <w:sz w:val="24"/>
          <w:szCs w:val="24"/>
          <w:lang w:eastAsia="en-GB"/>
        </w:rPr>
        <w:t>D. J. Hand and R. J. Till, “A simple generalisation of the area under the ROC curve for multiple class classification problems,” </w:t>
      </w:r>
      <w:r w:rsidRPr="00A46587">
        <w:rPr>
          <w:rFonts w:ascii="STIXGeneral-Regular" w:eastAsia="Times New Roman" w:hAnsi="STIXGeneral-Regular" w:cs="Times New Roman"/>
          <w:i/>
          <w:iCs/>
          <w:color w:val="000000"/>
          <w:sz w:val="24"/>
          <w:szCs w:val="24"/>
          <w:lang w:eastAsia="en-GB"/>
        </w:rPr>
        <w:t>Machine Learning</w:t>
      </w:r>
      <w:r w:rsidRPr="00A46587">
        <w:rPr>
          <w:rFonts w:ascii="STIXGeneral-Regular" w:eastAsia="Times New Roman" w:hAnsi="STIXGeneral-Regular" w:cs="Times New Roman"/>
          <w:color w:val="000000"/>
          <w:sz w:val="24"/>
          <w:szCs w:val="24"/>
          <w:lang w:eastAsia="en-GB"/>
        </w:rPr>
        <w:t>, vol. 45, no. 2, pp. 171–186, 2001.</w:t>
      </w:r>
    </w:p>
    <w:p w:rsidR="00A46587" w:rsidRPr="00A46587" w:rsidRDefault="00A46587" w:rsidP="00A46587">
      <w:pPr>
        <w:numPr>
          <w:ilvl w:val="0"/>
          <w:numId w:val="1"/>
        </w:numPr>
        <w:spacing w:after="150" w:line="360" w:lineRule="atLeast"/>
        <w:ind w:left="0"/>
        <w:jc w:val="both"/>
        <w:rPr>
          <w:rFonts w:ascii="STIXGeneral-Regular" w:eastAsia="Times New Roman" w:hAnsi="STIXGeneral-Regular" w:cs="Times New Roman"/>
          <w:color w:val="000000"/>
          <w:sz w:val="24"/>
          <w:szCs w:val="24"/>
          <w:lang w:eastAsia="en-GB"/>
        </w:rPr>
      </w:pPr>
      <w:r w:rsidRPr="00A46587">
        <w:rPr>
          <w:rFonts w:ascii="STIXGeneral-Regular" w:eastAsia="Times New Roman" w:hAnsi="STIXGeneral-Regular" w:cs="Times New Roman"/>
          <w:color w:val="000000"/>
          <w:sz w:val="24"/>
          <w:szCs w:val="24"/>
          <w:lang w:eastAsia="en-GB"/>
        </w:rPr>
        <w:t xml:space="preserve"> M. </w:t>
      </w:r>
      <w:proofErr w:type="spellStart"/>
      <w:r w:rsidRPr="00A46587">
        <w:rPr>
          <w:rFonts w:ascii="STIXGeneral-Regular" w:eastAsia="Times New Roman" w:hAnsi="STIXGeneral-Regular" w:cs="Times New Roman"/>
          <w:color w:val="000000"/>
          <w:sz w:val="24"/>
          <w:szCs w:val="24"/>
          <w:lang w:eastAsia="en-GB"/>
        </w:rPr>
        <w:t>Hossin</w:t>
      </w:r>
      <w:proofErr w:type="spellEnd"/>
      <w:r w:rsidRPr="00A46587">
        <w:rPr>
          <w:rFonts w:ascii="STIXGeneral-Regular" w:eastAsia="Times New Roman" w:hAnsi="STIXGeneral-Regular" w:cs="Times New Roman"/>
          <w:color w:val="000000"/>
          <w:sz w:val="24"/>
          <w:szCs w:val="24"/>
          <w:lang w:eastAsia="en-GB"/>
        </w:rPr>
        <w:t xml:space="preserve"> and M. N. </w:t>
      </w:r>
      <w:proofErr w:type="spellStart"/>
      <w:r w:rsidRPr="00A46587">
        <w:rPr>
          <w:rFonts w:ascii="STIXGeneral-Regular" w:eastAsia="Times New Roman" w:hAnsi="STIXGeneral-Regular" w:cs="Times New Roman"/>
          <w:color w:val="000000"/>
          <w:sz w:val="24"/>
          <w:szCs w:val="24"/>
          <w:lang w:eastAsia="en-GB"/>
        </w:rPr>
        <w:t>Sulaiman</w:t>
      </w:r>
      <w:proofErr w:type="spellEnd"/>
      <w:r w:rsidRPr="00A46587">
        <w:rPr>
          <w:rFonts w:ascii="STIXGeneral-Regular" w:eastAsia="Times New Roman" w:hAnsi="STIXGeneral-Regular" w:cs="Times New Roman"/>
          <w:color w:val="000000"/>
          <w:sz w:val="24"/>
          <w:szCs w:val="24"/>
          <w:lang w:eastAsia="en-GB"/>
        </w:rPr>
        <w:t>, “A review on evaluation metrics for data classification evaluations,” </w:t>
      </w:r>
      <w:r w:rsidRPr="00A46587">
        <w:rPr>
          <w:rFonts w:ascii="STIXGeneral-Regular" w:eastAsia="Times New Roman" w:hAnsi="STIXGeneral-Regular" w:cs="Times New Roman"/>
          <w:i/>
          <w:iCs/>
          <w:color w:val="000000"/>
          <w:sz w:val="24"/>
          <w:szCs w:val="24"/>
          <w:lang w:eastAsia="en-GB"/>
        </w:rPr>
        <w:t>International Journal of Data Mining &amp; Knowledge Management Process</w:t>
      </w:r>
      <w:r w:rsidRPr="00A46587">
        <w:rPr>
          <w:rFonts w:ascii="STIXGeneral-Regular" w:eastAsia="Times New Roman" w:hAnsi="STIXGeneral-Regular" w:cs="Times New Roman"/>
          <w:color w:val="000000"/>
          <w:sz w:val="24"/>
          <w:szCs w:val="24"/>
          <w:lang w:eastAsia="en-GB"/>
        </w:rPr>
        <w:t xml:space="preserve">, vol. 5, no. 2, pp. 01–11, 2015. </w:t>
      </w:r>
    </w:p>
    <w:p w:rsidR="00A46587" w:rsidRPr="00A46587" w:rsidRDefault="00A46587" w:rsidP="00A46587">
      <w:pPr>
        <w:numPr>
          <w:ilvl w:val="0"/>
          <w:numId w:val="1"/>
        </w:numPr>
        <w:spacing w:after="150" w:line="360" w:lineRule="atLeast"/>
        <w:ind w:left="0"/>
        <w:jc w:val="both"/>
        <w:rPr>
          <w:rFonts w:ascii="STIXGeneral-Regular" w:eastAsia="Times New Roman" w:hAnsi="STIXGeneral-Regular" w:cs="Times New Roman"/>
          <w:color w:val="000000"/>
          <w:sz w:val="24"/>
          <w:szCs w:val="24"/>
          <w:lang w:eastAsia="en-GB"/>
        </w:rPr>
      </w:pPr>
      <w:r w:rsidRPr="00A46587">
        <w:rPr>
          <w:rFonts w:ascii="STIXGeneral-Regular" w:eastAsia="Times New Roman" w:hAnsi="STIXGeneral-Regular" w:cs="Times New Roman"/>
          <w:color w:val="000000"/>
          <w:sz w:val="24"/>
          <w:szCs w:val="24"/>
          <w:lang w:eastAsia="en-GB"/>
        </w:rPr>
        <w:t xml:space="preserve">N. V. Chawla, K. W. Bowyer, L. O. Hall, and W. P. </w:t>
      </w:r>
      <w:proofErr w:type="spellStart"/>
      <w:r w:rsidRPr="00A46587">
        <w:rPr>
          <w:rFonts w:ascii="STIXGeneral-Regular" w:eastAsia="Times New Roman" w:hAnsi="STIXGeneral-Regular" w:cs="Times New Roman"/>
          <w:color w:val="000000"/>
          <w:sz w:val="24"/>
          <w:szCs w:val="24"/>
          <w:lang w:eastAsia="en-GB"/>
        </w:rPr>
        <w:t>Kegelmeyer</w:t>
      </w:r>
      <w:proofErr w:type="spellEnd"/>
      <w:r w:rsidRPr="00A46587">
        <w:rPr>
          <w:rFonts w:ascii="STIXGeneral-Regular" w:eastAsia="Times New Roman" w:hAnsi="STIXGeneral-Regular" w:cs="Times New Roman"/>
          <w:color w:val="000000"/>
          <w:sz w:val="24"/>
          <w:szCs w:val="24"/>
          <w:lang w:eastAsia="en-GB"/>
        </w:rPr>
        <w:t>, “SMOTE: synthetic minority over-sampling technique,” </w:t>
      </w:r>
      <w:r w:rsidRPr="00A46587">
        <w:rPr>
          <w:rFonts w:ascii="STIXGeneral-Regular" w:eastAsia="Times New Roman" w:hAnsi="STIXGeneral-Regular" w:cs="Times New Roman"/>
          <w:i/>
          <w:iCs/>
          <w:color w:val="000000"/>
          <w:sz w:val="24"/>
          <w:szCs w:val="24"/>
          <w:lang w:eastAsia="en-GB"/>
        </w:rPr>
        <w:t>Journal of Artificial Intelligence Research</w:t>
      </w:r>
      <w:r w:rsidRPr="00A46587">
        <w:rPr>
          <w:rFonts w:ascii="STIXGeneral-Regular" w:eastAsia="Times New Roman" w:hAnsi="STIXGeneral-Regular" w:cs="Times New Roman"/>
          <w:color w:val="000000"/>
          <w:sz w:val="24"/>
          <w:szCs w:val="24"/>
          <w:lang w:eastAsia="en-GB"/>
        </w:rPr>
        <w:t xml:space="preserve">, vol. 16, pp. 321–357, 2002. </w:t>
      </w:r>
    </w:p>
    <w:p w:rsidR="00A46587" w:rsidRPr="00A46587" w:rsidRDefault="00A46587" w:rsidP="00A46587">
      <w:pPr>
        <w:numPr>
          <w:ilvl w:val="0"/>
          <w:numId w:val="1"/>
        </w:numPr>
        <w:spacing w:before="150" w:after="150" w:line="360" w:lineRule="atLeast"/>
        <w:ind w:left="0"/>
        <w:jc w:val="both"/>
        <w:rPr>
          <w:rFonts w:ascii="STIXGeneral-Regular" w:eastAsia="Times New Roman" w:hAnsi="STIXGeneral-Regular" w:cs="Times New Roman"/>
          <w:color w:val="000000"/>
          <w:sz w:val="24"/>
          <w:szCs w:val="24"/>
          <w:lang w:eastAsia="en-GB"/>
        </w:rPr>
      </w:pPr>
      <w:r w:rsidRPr="00A46587">
        <w:rPr>
          <w:rFonts w:ascii="STIXGeneral-Regular" w:eastAsia="Times New Roman" w:hAnsi="STIXGeneral-Regular" w:cs="Times New Roman"/>
          <w:color w:val="000000"/>
          <w:sz w:val="24"/>
          <w:szCs w:val="24"/>
          <w:lang w:eastAsia="en-GB"/>
        </w:rPr>
        <w:t xml:space="preserve">V. </w:t>
      </w:r>
      <w:proofErr w:type="spellStart"/>
      <w:r w:rsidRPr="00A46587">
        <w:rPr>
          <w:rFonts w:ascii="STIXGeneral-Regular" w:eastAsia="Times New Roman" w:hAnsi="STIXGeneral-Regular" w:cs="Times New Roman"/>
          <w:color w:val="000000"/>
          <w:sz w:val="24"/>
          <w:szCs w:val="24"/>
          <w:lang w:eastAsia="en-GB"/>
        </w:rPr>
        <w:t>Ganganwar</w:t>
      </w:r>
      <w:proofErr w:type="spellEnd"/>
      <w:r w:rsidRPr="00A46587">
        <w:rPr>
          <w:rFonts w:ascii="STIXGeneral-Regular" w:eastAsia="Times New Roman" w:hAnsi="STIXGeneral-Regular" w:cs="Times New Roman"/>
          <w:color w:val="000000"/>
          <w:sz w:val="24"/>
          <w:szCs w:val="24"/>
          <w:lang w:eastAsia="en-GB"/>
        </w:rPr>
        <w:t>, “An overview of classification algorithms for imbalanced datasets,” </w:t>
      </w:r>
      <w:r w:rsidRPr="00A46587">
        <w:rPr>
          <w:rFonts w:ascii="STIXGeneral-Regular" w:eastAsia="Times New Roman" w:hAnsi="STIXGeneral-Regular" w:cs="Times New Roman"/>
          <w:i/>
          <w:iCs/>
          <w:color w:val="000000"/>
          <w:sz w:val="24"/>
          <w:szCs w:val="24"/>
          <w:lang w:eastAsia="en-GB"/>
        </w:rPr>
        <w:t>International Journal of Emerging Technology and Advanced Engineering</w:t>
      </w:r>
      <w:r w:rsidRPr="00A46587">
        <w:rPr>
          <w:rFonts w:ascii="STIXGeneral-Regular" w:eastAsia="Times New Roman" w:hAnsi="STIXGeneral-Regular" w:cs="Times New Roman"/>
          <w:color w:val="000000"/>
          <w:sz w:val="24"/>
          <w:szCs w:val="24"/>
          <w:lang w:eastAsia="en-GB"/>
        </w:rPr>
        <w:t xml:space="preserve">, vol. 2, no. 4, pp. 42–47, 2012. </w:t>
      </w:r>
    </w:p>
    <w:p w:rsidR="00A46587" w:rsidRDefault="00A46587" w:rsidP="00A46587">
      <w:pPr>
        <w:numPr>
          <w:ilvl w:val="0"/>
          <w:numId w:val="1"/>
        </w:numPr>
        <w:spacing w:after="150" w:line="360" w:lineRule="atLeast"/>
        <w:ind w:left="0"/>
        <w:jc w:val="both"/>
        <w:rPr>
          <w:rFonts w:ascii="STIXGeneral-Regular" w:eastAsia="Times New Roman" w:hAnsi="STIXGeneral-Regular" w:cs="Times New Roman"/>
          <w:color w:val="000000"/>
          <w:sz w:val="24"/>
          <w:szCs w:val="24"/>
          <w:lang w:eastAsia="en-GB"/>
        </w:rPr>
      </w:pPr>
      <w:r w:rsidRPr="00A46587">
        <w:rPr>
          <w:rFonts w:ascii="STIXGeneral-Regular" w:eastAsia="Times New Roman" w:hAnsi="STIXGeneral-Regular" w:cs="Times New Roman"/>
          <w:color w:val="000000"/>
          <w:sz w:val="24"/>
          <w:szCs w:val="24"/>
          <w:lang w:eastAsia="en-GB"/>
        </w:rPr>
        <w:lastRenderedPageBreak/>
        <w:t xml:space="preserve">X. Ding, Z. F. </w:t>
      </w:r>
      <w:proofErr w:type="spellStart"/>
      <w:r w:rsidRPr="00A46587">
        <w:rPr>
          <w:rFonts w:ascii="STIXGeneral-Regular" w:eastAsia="Times New Roman" w:hAnsi="STIXGeneral-Regular" w:cs="Times New Roman"/>
          <w:color w:val="000000"/>
          <w:sz w:val="24"/>
          <w:szCs w:val="24"/>
          <w:lang w:eastAsia="en-GB"/>
        </w:rPr>
        <w:t>Gellad</w:t>
      </w:r>
      <w:proofErr w:type="spellEnd"/>
      <w:r w:rsidRPr="00A46587">
        <w:rPr>
          <w:rFonts w:ascii="STIXGeneral-Regular" w:eastAsia="Times New Roman" w:hAnsi="STIXGeneral-Regular" w:cs="Times New Roman"/>
          <w:color w:val="000000"/>
          <w:sz w:val="24"/>
          <w:szCs w:val="24"/>
          <w:lang w:eastAsia="en-GB"/>
        </w:rPr>
        <w:t>, C. Mather III et al., “Designing risk prediction models for ambulatory no-shows across different specialties and clinics,” </w:t>
      </w:r>
      <w:r w:rsidRPr="00A46587">
        <w:rPr>
          <w:rFonts w:ascii="STIXGeneral-Regular" w:eastAsia="Times New Roman" w:hAnsi="STIXGeneral-Regular" w:cs="Times New Roman"/>
          <w:i/>
          <w:iCs/>
          <w:color w:val="000000"/>
          <w:sz w:val="24"/>
          <w:szCs w:val="24"/>
          <w:lang w:eastAsia="en-GB"/>
        </w:rPr>
        <w:t>Journal of the American Medical Informatics Association</w:t>
      </w:r>
      <w:r w:rsidRPr="00A46587">
        <w:rPr>
          <w:rFonts w:ascii="STIXGeneral-Regular" w:eastAsia="Times New Roman" w:hAnsi="STIXGeneral-Regular" w:cs="Times New Roman"/>
          <w:color w:val="000000"/>
          <w:sz w:val="24"/>
          <w:szCs w:val="24"/>
          <w:lang w:eastAsia="en-GB"/>
        </w:rPr>
        <w:t>, vol. 25, no. 8, pp. 924–930, 2018.</w:t>
      </w:r>
    </w:p>
    <w:p w:rsidR="007862BF" w:rsidRDefault="007862BF" w:rsidP="007862BF">
      <w:pPr>
        <w:spacing w:after="150" w:line="360" w:lineRule="atLeast"/>
        <w:ind w:left="360"/>
        <w:jc w:val="both"/>
        <w:rPr>
          <w:rFonts w:ascii="STIXGeneral-Regular" w:eastAsia="Times New Roman" w:hAnsi="STIXGeneral-Regular" w:cs="Times New Roman"/>
          <w:color w:val="000000"/>
          <w:sz w:val="24"/>
          <w:szCs w:val="24"/>
          <w:lang w:eastAsia="en-GB"/>
        </w:rPr>
      </w:pPr>
      <w:r>
        <w:rPr>
          <w:b/>
          <w:noProof/>
          <w:lang w:eastAsia="en-GB"/>
        </w:rPr>
        <w:drawing>
          <wp:inline distT="0" distB="0" distL="0" distR="0" wp14:anchorId="75BCD001" wp14:editId="6784A541">
            <wp:extent cx="1800000" cy="16201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nap2.bmp"/>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00000" cy="1620120"/>
                    </a:xfrm>
                    <a:prstGeom prst="rect">
                      <a:avLst/>
                    </a:prstGeom>
                  </pic:spPr>
                </pic:pic>
              </a:graphicData>
            </a:graphic>
          </wp:inline>
        </w:drawing>
      </w:r>
    </w:p>
    <w:p w:rsidR="007862BF" w:rsidRDefault="007862BF" w:rsidP="007862BF">
      <w:pPr>
        <w:spacing w:after="150" w:line="360" w:lineRule="atLeast"/>
        <w:jc w:val="both"/>
        <w:rPr>
          <w:rFonts w:ascii="STIXGeneral-Regular" w:eastAsia="Times New Roman" w:hAnsi="STIXGeneral-Regular" w:cs="Times New Roman"/>
          <w:color w:val="000000"/>
          <w:sz w:val="24"/>
          <w:szCs w:val="24"/>
          <w:lang w:eastAsia="en-GB"/>
        </w:rPr>
      </w:pPr>
      <w:r>
        <w:rPr>
          <w:rFonts w:ascii="STIXGeneral-Regular" w:eastAsia="Times New Roman" w:hAnsi="STIXGeneral-Regular" w:cs="Times New Roman"/>
          <w:color w:val="000000"/>
          <w:sz w:val="24"/>
          <w:szCs w:val="24"/>
          <w:lang w:eastAsia="en-GB"/>
        </w:rPr>
        <w:t xml:space="preserve">Biography </w:t>
      </w:r>
    </w:p>
    <w:p w:rsidR="007862BF" w:rsidRDefault="007862BF" w:rsidP="007862BF">
      <w:pPr>
        <w:spacing w:after="150" w:line="360" w:lineRule="atLeast"/>
        <w:jc w:val="both"/>
        <w:rPr>
          <w:rFonts w:ascii="STIXGeneral-Regular" w:eastAsia="Times New Roman" w:hAnsi="STIXGeneral-Regular" w:cs="Times New Roman"/>
          <w:color w:val="000000"/>
          <w:sz w:val="24"/>
          <w:szCs w:val="24"/>
          <w:lang w:eastAsia="en-GB"/>
        </w:rPr>
      </w:pPr>
      <w:r w:rsidRPr="007862BF">
        <w:rPr>
          <w:rFonts w:ascii="STIXGeneral-Regular" w:eastAsia="Times New Roman" w:hAnsi="STIXGeneral-Regular" w:cs="Times New Roman"/>
          <w:color w:val="000000"/>
          <w:sz w:val="24"/>
          <w:szCs w:val="24"/>
          <w:lang w:eastAsia="en-GB"/>
        </w:rPr>
        <w:t xml:space="preserve">Farkhanda Afzal is founder of STEM </w:t>
      </w:r>
      <w:proofErr w:type="spellStart"/>
      <w:r w:rsidRPr="007862BF">
        <w:rPr>
          <w:rFonts w:ascii="STIXGeneral-Regular" w:eastAsia="Times New Roman" w:hAnsi="STIXGeneral-Regular" w:cs="Times New Roman"/>
          <w:color w:val="000000"/>
          <w:sz w:val="24"/>
          <w:szCs w:val="24"/>
          <w:lang w:eastAsia="en-GB"/>
        </w:rPr>
        <w:t>WomenPK</w:t>
      </w:r>
      <w:proofErr w:type="spellEnd"/>
      <w:r w:rsidRPr="007862BF">
        <w:rPr>
          <w:rFonts w:ascii="STIXGeneral-Regular" w:eastAsia="Times New Roman" w:hAnsi="STIXGeneral-Regular" w:cs="Times New Roman"/>
          <w:color w:val="000000"/>
          <w:sz w:val="24"/>
          <w:szCs w:val="24"/>
          <w:lang w:eastAsia="en-GB"/>
        </w:rPr>
        <w:t xml:space="preserve">. She is PhD in the field of Applied Mathematics from Beihang University, Beijing, China. Dr Farkhanda remained on the faculties of Beihang University Beijing, </w:t>
      </w:r>
      <w:proofErr w:type="spellStart"/>
      <w:r w:rsidRPr="007862BF">
        <w:rPr>
          <w:rFonts w:ascii="STIXGeneral-Regular" w:eastAsia="Times New Roman" w:hAnsi="STIXGeneral-Regular" w:cs="Times New Roman"/>
          <w:color w:val="000000"/>
          <w:sz w:val="24"/>
          <w:szCs w:val="24"/>
          <w:lang w:eastAsia="en-GB"/>
        </w:rPr>
        <w:t>Bahria</w:t>
      </w:r>
      <w:proofErr w:type="spellEnd"/>
      <w:r w:rsidRPr="007862BF">
        <w:rPr>
          <w:rFonts w:ascii="STIXGeneral-Regular" w:eastAsia="Times New Roman" w:hAnsi="STIXGeneral-Regular" w:cs="Times New Roman"/>
          <w:color w:val="000000"/>
          <w:sz w:val="24"/>
          <w:szCs w:val="24"/>
          <w:lang w:eastAsia="en-GB"/>
        </w:rPr>
        <w:t xml:space="preserve"> University Islamabad, KRL College </w:t>
      </w:r>
      <w:proofErr w:type="spellStart"/>
      <w:r w:rsidRPr="007862BF">
        <w:rPr>
          <w:rFonts w:ascii="STIXGeneral-Regular" w:eastAsia="Times New Roman" w:hAnsi="STIXGeneral-Regular" w:cs="Times New Roman"/>
          <w:color w:val="000000"/>
          <w:sz w:val="24"/>
          <w:szCs w:val="24"/>
          <w:lang w:eastAsia="en-GB"/>
        </w:rPr>
        <w:t>Kahuta</w:t>
      </w:r>
      <w:proofErr w:type="spellEnd"/>
      <w:r w:rsidRPr="007862BF">
        <w:rPr>
          <w:rFonts w:ascii="STIXGeneral-Regular" w:eastAsia="Times New Roman" w:hAnsi="STIXGeneral-Regular" w:cs="Times New Roman"/>
          <w:color w:val="000000"/>
          <w:sz w:val="24"/>
          <w:szCs w:val="24"/>
          <w:lang w:eastAsia="en-GB"/>
        </w:rPr>
        <w:t xml:space="preserve"> and University of Education Lahore. At present, she is serving as an Assistant Professor/ Associate HOD at Department of Humanities &amp; Basic Sciences in MCS, National University of Sciences and Technology, Islamabad Pakistan. Dr Farkhanda is a recipient of </w:t>
      </w:r>
      <w:proofErr w:type="spellStart"/>
      <w:r w:rsidRPr="007862BF">
        <w:rPr>
          <w:rFonts w:ascii="STIXGeneral-Regular" w:eastAsia="Times New Roman" w:hAnsi="STIXGeneral-Regular" w:cs="Times New Roman"/>
          <w:color w:val="000000"/>
          <w:sz w:val="24"/>
          <w:szCs w:val="24"/>
          <w:lang w:eastAsia="en-GB"/>
        </w:rPr>
        <w:t>AlumNode</w:t>
      </w:r>
      <w:proofErr w:type="spellEnd"/>
      <w:r w:rsidRPr="007862BF">
        <w:rPr>
          <w:rFonts w:ascii="STIXGeneral-Regular" w:eastAsia="Times New Roman" w:hAnsi="STIXGeneral-Regular" w:cs="Times New Roman"/>
          <w:color w:val="000000"/>
          <w:sz w:val="24"/>
          <w:szCs w:val="24"/>
          <w:lang w:eastAsia="en-GB"/>
        </w:rPr>
        <w:t xml:space="preserve"> Project funding 2021. She is currently working in the areas of Pure and Applied Mathematics, Computer Science, Image and Signal Processing and Management Sciences.</w:t>
      </w:r>
    </w:p>
    <w:sectPr w:rsidR="007862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TIXGeneral-Regular">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31FCF"/>
    <w:multiLevelType w:val="multilevel"/>
    <w:tmpl w:val="DBBEB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587"/>
    <w:rsid w:val="007862BF"/>
    <w:rsid w:val="007912F3"/>
    <w:rsid w:val="00A46587"/>
    <w:rsid w:val="00C04560"/>
    <w:rsid w:val="00E47D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E492A3-BBEA-4175-B028-81953EE11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link w:val="Heading4Char"/>
    <w:uiPriority w:val="9"/>
    <w:qFormat/>
    <w:rsid w:val="00A46587"/>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A46587"/>
    <w:rPr>
      <w:rFonts w:ascii="Times New Roman" w:eastAsia="Times New Roman" w:hAnsi="Times New Roman" w:cs="Times New Roman"/>
      <w:b/>
      <w:bCs/>
      <w:sz w:val="24"/>
      <w:szCs w:val="24"/>
      <w:lang w:eastAsia="en-GB"/>
    </w:rPr>
  </w:style>
  <w:style w:type="character" w:customStyle="1" w:styleId="reflinks">
    <w:name w:val="reflinks"/>
    <w:basedOn w:val="DefaultParagraphFont"/>
    <w:rsid w:val="00A46587"/>
  </w:style>
  <w:style w:type="character" w:styleId="Hyperlink">
    <w:name w:val="Hyperlink"/>
    <w:basedOn w:val="DefaultParagraphFont"/>
    <w:uiPriority w:val="99"/>
    <w:semiHidden/>
    <w:unhideWhenUsed/>
    <w:rsid w:val="00A46587"/>
    <w:rPr>
      <w:color w:val="0000FF"/>
      <w:u w:val="single"/>
    </w:rPr>
  </w:style>
  <w:style w:type="character" w:customStyle="1" w:styleId="sep">
    <w:name w:val="sep"/>
    <w:basedOn w:val="DefaultParagraphFont"/>
    <w:rsid w:val="00A465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1962340">
      <w:bodyDiv w:val="1"/>
      <w:marLeft w:val="0"/>
      <w:marRight w:val="0"/>
      <w:marTop w:val="0"/>
      <w:marBottom w:val="0"/>
      <w:divBdr>
        <w:top w:val="none" w:sz="0" w:space="0" w:color="auto"/>
        <w:left w:val="none" w:sz="0" w:space="0" w:color="auto"/>
        <w:bottom w:val="none" w:sz="0" w:space="0" w:color="auto"/>
        <w:right w:val="none" w:sz="0" w:space="0" w:color="auto"/>
      </w:divBdr>
    </w:div>
    <w:div w:id="1503738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885</Words>
  <Characters>5045</Characters>
  <Application>Microsoft Office Word</Application>
  <DocSecurity>0</DocSecurity>
  <Lines>42</Lines>
  <Paragraphs>11</Paragraphs>
  <ScaleCrop>false</ScaleCrop>
  <Company/>
  <LinksUpToDate>false</LinksUpToDate>
  <CharactersWithSpaces>5919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Afzal Farkhanda</dc:creator>
  <cp:keywords/>
  <dc:description/>
  <cp:lastModifiedBy>Afzal Farkhanda</cp:lastModifiedBy>
  <cp:revision>2</cp:revision>
  <dcterms:created xsi:type="dcterms:W3CDTF">2022-02-19T16:09:00Z</dcterms:created>
  <dcterms:modified xsi:type="dcterms:W3CDTF">2022-02-19T16:19:00Z</dcterms:modified>
</cp:coreProperties>
</file>