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BE2" w:rsidRDefault="00316BE2" w:rsidP="00316BE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Gender </w:t>
      </w:r>
      <w:r>
        <w:rPr>
          <w:rFonts w:ascii="Times New Roman" w:hAnsi="Times New Roman" w:cs="Times New Roman"/>
          <w:b/>
          <w:bCs/>
          <w:sz w:val="32"/>
          <w:szCs w:val="32"/>
        </w:rPr>
        <w:t>D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ifferences 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n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Pelvic and </w:t>
      </w:r>
      <w:r>
        <w:rPr>
          <w:rFonts w:ascii="Times New Roman" w:hAnsi="Times New Roman" w:cs="Times New Roman"/>
          <w:b/>
          <w:bCs/>
          <w:sz w:val="32"/>
          <w:szCs w:val="32"/>
          <w:lang w:bidi="fa-IR"/>
        </w:rPr>
        <w:t>L</w:t>
      </w:r>
      <w:r w:rsidRPr="00726A37">
        <w:rPr>
          <w:rFonts w:ascii="Times New Roman" w:hAnsi="Times New Roman" w:cs="Times New Roman"/>
          <w:b/>
          <w:bCs/>
          <w:sz w:val="32"/>
          <w:szCs w:val="32"/>
          <w:lang w:bidi="fa-IR"/>
        </w:rPr>
        <w:t xml:space="preserve">ower </w:t>
      </w:r>
      <w:r>
        <w:rPr>
          <w:rFonts w:ascii="Times New Roman" w:hAnsi="Times New Roman" w:cs="Times New Roman"/>
          <w:b/>
          <w:bCs/>
          <w:sz w:val="32"/>
          <w:szCs w:val="32"/>
          <w:lang w:bidi="fa-IR"/>
        </w:rPr>
        <w:t>L</w:t>
      </w:r>
      <w:r w:rsidRPr="00726A37">
        <w:rPr>
          <w:rFonts w:ascii="Times New Roman" w:hAnsi="Times New Roman" w:cs="Times New Roman"/>
          <w:b/>
          <w:bCs/>
          <w:sz w:val="32"/>
          <w:szCs w:val="32"/>
          <w:lang w:bidi="fa-IR"/>
        </w:rPr>
        <w:t>imb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K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inematics </w:t>
      </w:r>
      <w:r>
        <w:rPr>
          <w:rFonts w:ascii="Times New Roman" w:hAnsi="Times New Roman" w:cs="Times New Roman"/>
          <w:b/>
          <w:bCs/>
          <w:sz w:val="32"/>
          <w:szCs w:val="32"/>
        </w:rPr>
        <w:t>during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W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alking </w:t>
      </w: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n </w:t>
      </w:r>
      <w:r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eople </w:t>
      </w:r>
      <w:r>
        <w:rPr>
          <w:rFonts w:ascii="Times New Roman" w:hAnsi="Times New Roman" w:cs="Times New Roman"/>
          <w:b/>
          <w:bCs/>
          <w:sz w:val="32"/>
          <w:szCs w:val="32"/>
        </w:rPr>
        <w:t>with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C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hronic </w:t>
      </w:r>
      <w:r>
        <w:rPr>
          <w:rFonts w:ascii="Times New Roman" w:hAnsi="Times New Roman" w:cs="Times New Roman"/>
          <w:b/>
          <w:bCs/>
          <w:sz w:val="32"/>
          <w:szCs w:val="32"/>
        </w:rPr>
        <w:t>L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ow </w:t>
      </w:r>
      <w:r>
        <w:rPr>
          <w:rFonts w:ascii="Times New Roman" w:hAnsi="Times New Roman" w:cs="Times New Roman"/>
          <w:b/>
          <w:bCs/>
          <w:sz w:val="32"/>
          <w:szCs w:val="32"/>
        </w:rPr>
        <w:t>B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 xml:space="preserve">ack </w:t>
      </w:r>
      <w:r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726A37">
        <w:rPr>
          <w:rFonts w:ascii="Times New Roman" w:hAnsi="Times New Roman" w:cs="Times New Roman"/>
          <w:b/>
          <w:bCs/>
          <w:sz w:val="32"/>
          <w:szCs w:val="32"/>
        </w:rPr>
        <w:t>ain</w:t>
      </w:r>
    </w:p>
    <w:p w:rsidR="009E65EA" w:rsidRPr="009E65EA" w:rsidRDefault="009E65EA" w:rsidP="002F50D1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E65EA">
        <w:rPr>
          <w:rFonts w:ascii="Times New Roman" w:hAnsi="Times New Roman" w:cs="Times New Roman"/>
          <w:sz w:val="24"/>
          <w:szCs w:val="24"/>
        </w:rPr>
        <w:t>Atefeh</w:t>
      </w:r>
      <w:proofErr w:type="spellEnd"/>
      <w:r w:rsidRPr="009E65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5EA">
        <w:rPr>
          <w:rFonts w:ascii="Times New Roman" w:hAnsi="Times New Roman" w:cs="Times New Roman"/>
          <w:sz w:val="24"/>
          <w:szCs w:val="24"/>
        </w:rPr>
        <w:t>Rahimi</w:t>
      </w:r>
      <w:proofErr w:type="spellEnd"/>
      <w:r w:rsidR="002F50D1" w:rsidRPr="002F50D1">
        <w:rPr>
          <w:color w:val="000000"/>
          <w:sz w:val="16"/>
          <w:szCs w:val="16"/>
        </w:rPr>
        <w:t xml:space="preserve"> </w:t>
      </w:r>
      <w:r w:rsidR="002F50D1" w:rsidRPr="002F50D1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2F50D1" w:rsidRPr="002F50D1">
        <w:rPr>
          <w:rFonts w:ascii="Times New Roman" w:hAnsi="Times New Roman" w:cs="Times New Roman"/>
          <w:sz w:val="20"/>
          <w:szCs w:val="20"/>
        </w:rPr>
        <w:t xml:space="preserve">University of Social </w:t>
      </w:r>
      <w:r w:rsidR="002F50D1" w:rsidRPr="002F50D1">
        <w:rPr>
          <w:rFonts w:ascii="Times New Roman" w:hAnsi="Times New Roman" w:cs="Times New Roman"/>
          <w:sz w:val="20"/>
          <w:szCs w:val="20"/>
        </w:rPr>
        <w:t xml:space="preserve">Welfare and Rehabilitation </w:t>
      </w:r>
      <w:r w:rsidR="002F50D1" w:rsidRPr="002F50D1">
        <w:rPr>
          <w:rFonts w:ascii="Times New Roman" w:hAnsi="Times New Roman" w:cs="Times New Roman"/>
          <w:sz w:val="20"/>
          <w:szCs w:val="20"/>
        </w:rPr>
        <w:t>Sciences, Tehran, Iran</w:t>
      </w:r>
      <w:r w:rsidR="002F50D1" w:rsidRPr="002F50D1">
        <w:rPr>
          <w:rFonts w:ascii="Times New Roman" w:hAnsi="Times New Roman" w:cs="Times New Roman"/>
          <w:sz w:val="20"/>
          <w:szCs w:val="20"/>
        </w:rPr>
        <w:t>)</w:t>
      </w:r>
    </w:p>
    <w:p w:rsidR="00316BE2" w:rsidRDefault="00316BE2" w:rsidP="00316BE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316BE2" w:rsidRDefault="00316BE2" w:rsidP="00316BE2">
      <w:pPr>
        <w:shd w:val="clear" w:color="auto" w:fill="FFFFFF"/>
        <w:spacing w:line="480" w:lineRule="auto"/>
        <w:jc w:val="both"/>
        <w:rPr>
          <w:rFonts w:ascii="Times New Roman" w:eastAsia="Times New Roman" w:hAnsi="Times New Roman" w:cs="Times New Roman"/>
          <w:color w:val="111111"/>
          <w:sz w:val="44"/>
          <w:szCs w:val="44"/>
          <w:lang w:val="en"/>
        </w:rPr>
      </w:pPr>
      <w:r w:rsidRPr="00EA231A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316BE2" w:rsidRPr="005F5D2D" w:rsidRDefault="00316BE2" w:rsidP="00316BE2">
      <w:pPr>
        <w:shd w:val="clear" w:color="auto" w:fill="FFFFFF"/>
        <w:spacing w:line="480" w:lineRule="auto"/>
        <w:jc w:val="both"/>
        <w:rPr>
          <w:rFonts w:ascii="Times New Roman" w:eastAsia="Times New Roman" w:hAnsi="Times New Roman" w:cs="Times New Roman"/>
          <w:color w:val="111111"/>
          <w:sz w:val="44"/>
          <w:szCs w:val="44"/>
          <w:lang w:val="en"/>
        </w:rPr>
      </w:pPr>
      <w:r w:rsidRPr="00EA231A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EA231A">
        <w:rPr>
          <w:rFonts w:asciiTheme="majorBidi" w:hAnsiTheme="majorBidi" w:cstheme="majorBidi"/>
          <w:sz w:val="24"/>
          <w:szCs w:val="24"/>
        </w:rPr>
        <w:t xml:space="preserve"> Chronic </w:t>
      </w:r>
      <w:r w:rsidRPr="00EA231A">
        <w:rPr>
          <w:rFonts w:ascii="Times New Roman" w:hAnsi="Times New Roman" w:cs="Times New Roman"/>
          <w:sz w:val="24"/>
          <w:szCs w:val="24"/>
        </w:rPr>
        <w:t>Low back pain (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A231A">
        <w:rPr>
          <w:rFonts w:ascii="Times New Roman" w:hAnsi="Times New Roman" w:cs="Times New Roman"/>
          <w:sz w:val="24"/>
          <w:szCs w:val="24"/>
        </w:rPr>
        <w:t>LBP) is one of the most common musculoskeletal disorders.</w:t>
      </w:r>
      <w:r w:rsidRPr="00EA231A">
        <w:rPr>
          <w:rFonts w:asciiTheme="majorBidi" w:hAnsiTheme="majorBidi" w:cstheme="majorBidi"/>
          <w:sz w:val="24"/>
          <w:szCs w:val="24"/>
        </w:rPr>
        <w:t xml:space="preserve"> Previous studies </w:t>
      </w:r>
      <w:r>
        <w:rPr>
          <w:rFonts w:asciiTheme="majorBidi" w:hAnsiTheme="majorBidi" w:cstheme="majorBidi"/>
          <w:sz w:val="24"/>
          <w:szCs w:val="24"/>
        </w:rPr>
        <w:t>have shown</w:t>
      </w:r>
      <w:r w:rsidRPr="00EA231A">
        <w:rPr>
          <w:rFonts w:asciiTheme="majorBidi" w:hAnsiTheme="majorBidi" w:cstheme="majorBidi"/>
          <w:sz w:val="24"/>
          <w:szCs w:val="24"/>
        </w:rPr>
        <w:t xml:space="preserve"> a link between spine and lower limb movement.</w:t>
      </w:r>
      <w:r w:rsidRPr="00EA231A">
        <w:rPr>
          <w:rFonts w:ascii="Times New Roman" w:hAnsi="Times New Roman" w:cs="Times New Roman"/>
          <w:sz w:val="24"/>
          <w:szCs w:val="24"/>
        </w:rPr>
        <w:t xml:space="preserve"> The link between modified pelvic and lower limb range of motion (ROM) and LBP may vary by gender.</w:t>
      </w:r>
      <w:r w:rsidRPr="00EA231A">
        <w:rPr>
          <w:rFonts w:asciiTheme="majorBidi" w:hAnsiTheme="majorBidi" w:cstheme="majorBidi"/>
          <w:sz w:val="24"/>
          <w:szCs w:val="24"/>
        </w:rPr>
        <w:t xml:space="preserve"> Therefore, the purpose of this study was to explore gender differences in </w:t>
      </w:r>
      <w:r>
        <w:rPr>
          <w:rFonts w:asciiTheme="majorBidi" w:hAnsiTheme="majorBidi" w:cstheme="majorBidi"/>
          <w:sz w:val="24"/>
          <w:szCs w:val="24"/>
        </w:rPr>
        <w:t xml:space="preserve">pelvic and </w:t>
      </w:r>
      <w:r w:rsidRPr="00EA231A">
        <w:rPr>
          <w:rFonts w:asciiTheme="majorBidi" w:hAnsiTheme="majorBidi" w:cstheme="majorBidi"/>
          <w:sz w:val="24"/>
          <w:szCs w:val="24"/>
        </w:rPr>
        <w:t>lower limb kinematics during walking in people with chronic low back pain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16BE2" w:rsidRDefault="00316BE2" w:rsidP="00316BE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231A">
        <w:rPr>
          <w:rFonts w:asciiTheme="majorBidi" w:hAnsiTheme="majorBidi" w:cstheme="majorBidi"/>
          <w:b/>
          <w:bCs/>
          <w:sz w:val="24"/>
          <w:szCs w:val="24"/>
        </w:rPr>
        <w:t xml:space="preserve">Materials and Methods: </w:t>
      </w:r>
      <w:r w:rsidRPr="00EA231A">
        <w:rPr>
          <w:rFonts w:ascii="Times New Roman" w:hAnsi="Times New Roman" w:cs="Times New Roman"/>
          <w:color w:val="131413"/>
          <w:sz w:val="24"/>
          <w:szCs w:val="24"/>
        </w:rPr>
        <w:t>Participants included 20 individuals with chronic LBP (10 males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). </w:t>
      </w:r>
      <w:r w:rsidRPr="00EA231A">
        <w:rPr>
          <w:rFonts w:asciiTheme="majorBidi" w:hAnsiTheme="majorBidi" w:cstheme="majorBidi"/>
          <w:sz w:val="24"/>
          <w:szCs w:val="24"/>
        </w:rPr>
        <w:t>Pelvic and lower limb kinematics was tracked using a seven-camera motion capture system. One-way ANOVA was conducted to compare the range of motion of pelvis, hip, knee and ankle</w:t>
      </w:r>
      <w:r w:rsidRPr="00EA231A" w:rsidDel="00CA0E8C">
        <w:rPr>
          <w:rFonts w:asciiTheme="majorBidi" w:hAnsiTheme="majorBidi" w:cstheme="majorBidi"/>
          <w:sz w:val="24"/>
          <w:szCs w:val="24"/>
        </w:rPr>
        <w:t xml:space="preserve"> </w:t>
      </w:r>
      <w:r w:rsidRPr="00EA231A">
        <w:rPr>
          <w:rFonts w:asciiTheme="majorBidi" w:hAnsiTheme="majorBidi" w:cstheme="majorBidi"/>
          <w:sz w:val="24"/>
          <w:szCs w:val="24"/>
        </w:rPr>
        <w:t>joints during walking between males and females.</w:t>
      </w:r>
    </w:p>
    <w:p w:rsidR="00316BE2" w:rsidRDefault="00316BE2" w:rsidP="00316BE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16BE2" w:rsidRPr="005F5D2D" w:rsidRDefault="00316BE2" w:rsidP="00316BE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231A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EA231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>M</w:t>
      </w:r>
      <w:r w:rsidRPr="00EA231A">
        <w:rPr>
          <w:rFonts w:ascii="Times New Roman" w:hAnsi="Times New Roman" w:cs="Times New Roman"/>
          <w:color w:val="131413"/>
          <w:sz w:val="24"/>
          <w:szCs w:val="24"/>
        </w:rPr>
        <w:t xml:space="preserve">ale group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showed less </w:t>
      </w:r>
      <w:r w:rsidRPr="00EA231A">
        <w:rPr>
          <w:rFonts w:ascii="Times New Roman" w:hAnsi="Times New Roman" w:cs="Times New Roman"/>
          <w:color w:val="131413"/>
          <w:sz w:val="24"/>
          <w:szCs w:val="24"/>
        </w:rPr>
        <w:t xml:space="preserve">pelvic (P= 0/02) and ankle (P= 0/03) range of motion (ROM) in sagittal plane </w:t>
      </w:r>
      <w:r>
        <w:rPr>
          <w:rFonts w:ascii="Times New Roman" w:hAnsi="Times New Roman" w:cs="Times New Roman"/>
          <w:color w:val="131413"/>
          <w:sz w:val="24"/>
          <w:szCs w:val="24"/>
        </w:rPr>
        <w:t>compared</w:t>
      </w:r>
      <w:r w:rsidRPr="00EA231A">
        <w:rPr>
          <w:rFonts w:ascii="Times New Roman" w:hAnsi="Times New Roman" w:cs="Times New Roman"/>
          <w:color w:val="131413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131413"/>
          <w:sz w:val="24"/>
          <w:szCs w:val="24"/>
        </w:rPr>
        <w:t>fe</w:t>
      </w:r>
      <w:r w:rsidRPr="00EA231A">
        <w:rPr>
          <w:rFonts w:ascii="Times New Roman" w:hAnsi="Times New Roman" w:cs="Times New Roman"/>
          <w:color w:val="131413"/>
          <w:sz w:val="24"/>
          <w:szCs w:val="24"/>
        </w:rPr>
        <w:t xml:space="preserve">male. </w:t>
      </w:r>
      <w:r>
        <w:rPr>
          <w:rFonts w:ascii="Times New Roman" w:hAnsi="Times New Roman" w:cs="Times New Roman"/>
          <w:color w:val="131413"/>
          <w:sz w:val="24"/>
          <w:szCs w:val="24"/>
        </w:rPr>
        <w:t>Additionally</w:t>
      </w:r>
      <w:r w:rsidRPr="00EA231A">
        <w:rPr>
          <w:rFonts w:ascii="Times New Roman" w:hAnsi="Times New Roman" w:cs="Times New Roman"/>
          <w:color w:val="131413"/>
          <w:sz w:val="24"/>
          <w:szCs w:val="24"/>
        </w:rPr>
        <w:t>, male display</w:t>
      </w:r>
      <w:r>
        <w:rPr>
          <w:rFonts w:ascii="Times New Roman" w:hAnsi="Times New Roman" w:cs="Times New Roman"/>
          <w:color w:val="131413"/>
          <w:sz w:val="24"/>
          <w:szCs w:val="24"/>
        </w:rPr>
        <w:t>ed</w:t>
      </w:r>
      <w:r w:rsidRPr="00EA231A">
        <w:rPr>
          <w:rFonts w:ascii="Times New Roman" w:hAnsi="Times New Roman" w:cs="Times New Roman"/>
          <w:color w:val="131413"/>
          <w:sz w:val="24"/>
          <w:szCs w:val="24"/>
        </w:rPr>
        <w:t xml:space="preserve"> more ankle ROM in transvers plane (P= 0/01) in comparison with female.</w:t>
      </w:r>
    </w:p>
    <w:p w:rsidR="00316BE2" w:rsidRPr="00EA231A" w:rsidRDefault="00316BE2" w:rsidP="00316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BE2" w:rsidRPr="00EA231A" w:rsidRDefault="00316BE2" w:rsidP="00316BE2">
      <w:pPr>
        <w:autoSpaceDE w:val="0"/>
        <w:autoSpaceDN w:val="0"/>
        <w:adjustRightInd w:val="0"/>
        <w:spacing w:after="0" w:line="480" w:lineRule="auto"/>
        <w:jc w:val="both"/>
        <w:rPr>
          <w:rFonts w:ascii="AdvEPSTIM" w:hAnsi="AdvEPSTIM" w:cs="AdvEPSTIM"/>
          <w:sz w:val="24"/>
          <w:szCs w:val="24"/>
        </w:rPr>
      </w:pPr>
      <w:r w:rsidRPr="00EA231A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Conclusion: </w:t>
      </w:r>
      <w:r>
        <w:rPr>
          <w:rFonts w:asciiTheme="majorBidi" w:hAnsiTheme="majorBidi" w:cstheme="majorBidi"/>
          <w:sz w:val="24"/>
          <w:szCs w:val="24"/>
        </w:rPr>
        <w:t xml:space="preserve">Males </w:t>
      </w:r>
      <w:r w:rsidRPr="00EA231A">
        <w:rPr>
          <w:rFonts w:asciiTheme="majorBidi" w:hAnsiTheme="majorBidi" w:cstheme="majorBidi"/>
          <w:sz w:val="24"/>
          <w:szCs w:val="24"/>
        </w:rPr>
        <w:t xml:space="preserve">LBP displayed </w:t>
      </w:r>
      <w:r>
        <w:rPr>
          <w:rFonts w:asciiTheme="majorBidi" w:hAnsiTheme="majorBidi" w:cstheme="majorBidi"/>
          <w:sz w:val="24"/>
          <w:szCs w:val="24"/>
        </w:rPr>
        <w:t xml:space="preserve">less motion in the sagittal plane and more motion in the </w:t>
      </w:r>
      <w:r w:rsidRPr="00EA231A">
        <w:rPr>
          <w:rFonts w:asciiTheme="majorBidi" w:hAnsiTheme="majorBidi" w:cstheme="majorBidi"/>
          <w:sz w:val="24"/>
          <w:szCs w:val="24"/>
        </w:rPr>
        <w:t>transvers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231A">
        <w:rPr>
          <w:rFonts w:asciiTheme="majorBidi" w:hAnsiTheme="majorBidi" w:cstheme="majorBidi"/>
          <w:sz w:val="24"/>
          <w:szCs w:val="24"/>
        </w:rPr>
        <w:t>plane</w:t>
      </w:r>
      <w:r>
        <w:rPr>
          <w:rFonts w:asciiTheme="majorBidi" w:hAnsiTheme="majorBidi" w:cstheme="majorBidi"/>
          <w:sz w:val="24"/>
          <w:szCs w:val="24"/>
        </w:rPr>
        <w:t xml:space="preserve"> in the dominant limb </w:t>
      </w:r>
      <w:r w:rsidRPr="00EA231A">
        <w:rPr>
          <w:rFonts w:asciiTheme="majorBidi" w:hAnsiTheme="majorBidi" w:cstheme="majorBidi"/>
          <w:sz w:val="24"/>
          <w:szCs w:val="24"/>
        </w:rPr>
        <w:t>in comparison with</w:t>
      </w:r>
      <w:r>
        <w:rPr>
          <w:rFonts w:asciiTheme="majorBidi" w:hAnsiTheme="majorBidi" w:cstheme="majorBidi"/>
          <w:sz w:val="24"/>
          <w:szCs w:val="24"/>
        </w:rPr>
        <w:t xml:space="preserve"> females.</w:t>
      </w:r>
      <w:r w:rsidRPr="00EA231A">
        <w:rPr>
          <w:rFonts w:asciiTheme="majorBidi" w:hAnsiTheme="majorBidi" w:cstheme="majorBidi"/>
          <w:sz w:val="24"/>
          <w:szCs w:val="24"/>
        </w:rPr>
        <w:t xml:space="preserve"> Therefore, </w:t>
      </w:r>
      <w:r w:rsidRPr="00EA231A">
        <w:rPr>
          <w:rFonts w:ascii="Times New Roman" w:hAnsi="Times New Roman" w:cs="Times New Roman"/>
          <w:sz w:val="24"/>
          <w:szCs w:val="24"/>
        </w:rPr>
        <w:t xml:space="preserve">gender specific design of interventions for pelvic and lower limb should be </w:t>
      </w:r>
      <w:r>
        <w:rPr>
          <w:rFonts w:ascii="Times New Roman" w:hAnsi="Times New Roman" w:cs="Times New Roman"/>
          <w:sz w:val="24"/>
          <w:szCs w:val="24"/>
        </w:rPr>
        <w:t>considered</w:t>
      </w:r>
      <w:r w:rsidRPr="00EA231A">
        <w:rPr>
          <w:rFonts w:ascii="Times New Roman" w:hAnsi="Times New Roman" w:cs="Times New Roman"/>
          <w:sz w:val="24"/>
          <w:szCs w:val="24"/>
        </w:rPr>
        <w:t xml:space="preserve"> to improve CLBP.</w:t>
      </w:r>
      <w:r w:rsidRPr="00EA231A">
        <w:rPr>
          <w:rFonts w:asciiTheme="majorBidi" w:hAnsiTheme="majorBidi" w:cstheme="majorBidi"/>
          <w:sz w:val="24"/>
          <w:szCs w:val="24"/>
        </w:rPr>
        <w:t xml:space="preserve"> </w:t>
      </w:r>
    </w:p>
    <w:p w:rsidR="00316BE2" w:rsidRDefault="00316BE2" w:rsidP="00316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BE2" w:rsidRPr="00EA231A" w:rsidRDefault="00316BE2" w:rsidP="00316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31A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EA231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31A">
        <w:rPr>
          <w:rFonts w:ascii="Times New Roman" w:hAnsi="Times New Roman" w:cs="Times New Roman"/>
          <w:sz w:val="24"/>
          <w:szCs w:val="24"/>
        </w:rPr>
        <w:t>Kinematics, Low Back Pain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A231A">
        <w:rPr>
          <w:rFonts w:ascii="Times New Roman" w:hAnsi="Times New Roman" w:cs="Times New Roman"/>
          <w:sz w:val="24"/>
          <w:szCs w:val="24"/>
        </w:rPr>
        <w:t xml:space="preserve"> Lower Lim</w:t>
      </w:r>
      <w:r>
        <w:rPr>
          <w:rFonts w:ascii="Times New Roman" w:hAnsi="Times New Roman" w:cs="Times New Roman"/>
          <w:sz w:val="24"/>
          <w:szCs w:val="24"/>
        </w:rPr>
        <w:t xml:space="preserve">b, Pelvic, </w:t>
      </w:r>
      <w:r w:rsidRPr="00EA231A">
        <w:rPr>
          <w:rFonts w:ascii="Times New Roman" w:hAnsi="Times New Roman" w:cs="Times New Roman"/>
          <w:sz w:val="24"/>
          <w:szCs w:val="24"/>
        </w:rPr>
        <w:t>Walking</w:t>
      </w:r>
    </w:p>
    <w:p w:rsidR="00316BE2" w:rsidRDefault="00316BE2" w:rsidP="00316BE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0A30" w:rsidRDefault="00DA0A30"/>
    <w:sectPr w:rsidR="00DA0A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EPSTI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BE2"/>
    <w:rsid w:val="002F50D1"/>
    <w:rsid w:val="00316BE2"/>
    <w:rsid w:val="009E65EA"/>
    <w:rsid w:val="00DA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2020-01-03T08:55:00Z</dcterms:created>
  <dcterms:modified xsi:type="dcterms:W3CDTF">2020-03-07T20:32:00Z</dcterms:modified>
</cp:coreProperties>
</file>