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170" w:after="0"/>
        <w:ind w:left="0" w:hanging="0"/>
        <w:rPr/>
      </w:pPr>
      <w:bookmarkStart w:id="0" w:name="_GoBack"/>
      <w:bookmarkEnd w:id="0"/>
      <w:r>
        <w:rPr>
          <w:color w:val="337AB7"/>
        </w:rPr>
        <w:t>Turn over in enzyme catalysis using Large deviation theory</w:t>
      </w:r>
    </w:p>
    <w:p>
      <w:pPr>
        <w:pStyle w:val="Normal"/>
        <w:rPr>
          <w:rFonts w:ascii="Arial" w:hAnsi="Arial"/>
        </w:rPr>
      </w:pPr>
      <w:r>
        <w:rPr>
          <w:rFonts w:ascii="Arial" w:hAnsi="Arial"/>
        </w:rPr>
      </w:r>
    </w:p>
    <w:p>
      <w:pPr>
        <w:pStyle w:val="Normal"/>
        <w:rPr/>
      </w:pPr>
      <w:r>
        <w:rPr/>
        <w:t>Gautam Gangopadhyay</w:t>
      </w:r>
    </w:p>
    <w:p>
      <w:pPr>
        <w:pStyle w:val="Normal"/>
        <w:rPr>
          <w:rFonts w:ascii="Arial" w:hAnsi="Arial"/>
          <w:sz w:val="20"/>
        </w:rPr>
      </w:pPr>
      <w:r>
        <w:rPr>
          <w:rFonts w:ascii="Arial" w:hAnsi="Arial"/>
          <w:sz w:val="20"/>
        </w:rPr>
        <w:t>S.N.Bose National Centre for Basic Sciences, Block-JD, Sec-III Salt Lake, Kolkata-700106, India</w:t>
      </w:r>
    </w:p>
    <w:p>
      <w:pPr>
        <w:pStyle w:val="TextBody"/>
        <w:spacing w:before="3" w:after="0"/>
        <w:rPr>
          <w:rFonts w:ascii="Arial" w:hAnsi="Arial"/>
          <w:sz w:val="21"/>
        </w:rPr>
      </w:pPr>
      <w:r>
        <w:rPr>
          <w:rFonts w:ascii="Arial" w:hAnsi="Arial"/>
          <w:sz w:val="21"/>
        </w:rPr>
      </w:r>
    </w:p>
    <w:p>
      <w:pPr>
        <w:sectPr>
          <w:headerReference w:type="default" r:id="rId2"/>
          <w:footerReference w:type="default" r:id="rId3"/>
          <w:type w:val="nextPage"/>
          <w:pgSz w:w="11906" w:h="16838"/>
          <w:pgMar w:left="620" w:right="600" w:header="541" w:top="1740" w:footer="642" w:bottom="840" w:gutter="0"/>
          <w:pgNumType w:fmt="decimal"/>
          <w:formProt w:val="false"/>
          <w:textDirection w:val="lrTb"/>
          <w:docGrid w:type="default" w:linePitch="600" w:charSpace="36864"/>
        </w:sectPr>
      </w:pPr>
    </w:p>
    <w:p>
      <w:pPr>
        <w:pStyle w:val="Heading3"/>
        <w:spacing w:before="147" w:after="0"/>
        <w:jc w:val="both"/>
        <w:rPr/>
      </w:pPr>
      <w:r>
        <w:rPr>
          <w:color w:val="BF5A14"/>
        </w:rPr>
        <w:t>Abstract (300 word limit)</w:t>
      </w:r>
    </w:p>
    <w:p>
      <w:pPr>
        <w:pStyle w:val="Heading3"/>
        <w:spacing w:before="147" w:after="0"/>
        <w:jc w:val="both"/>
        <w:rPr>
          <w:color w:val="BF5A14"/>
        </w:rPr>
      </w:pPr>
      <w:r>
        <w:rPr>
          <w:color w:val="BF5A14"/>
        </w:rPr>
      </w:r>
    </w:p>
    <w:p>
      <w:pPr>
        <w:pStyle w:val="Heading3"/>
        <w:spacing w:before="147" w:after="0"/>
        <w:jc w:val="both"/>
        <w:rPr/>
      </w:pPr>
      <w:r>
        <w:rPr>
          <w:color w:val="BF5A14"/>
        </w:rPr>
        <w:t>Enzymatic processes[1] act like machines which catalyse biochemical reactions with high dynamic variability often passing through large conformational fluctuations, which decides the catalytic turnover.  In various single molecule events,  techniques are developed to understand the fluctuating trajectories to obtain their kinetic pathways[2]. Recently introduced nonequilibrium thermodynamics is extensively studied to learn how the chemical force in enzymatic processes can be utilized for mechanical work under the heading of molecular motor, for example, many theoretical efforts have been made on single molecule pulling experiments in this light[3].  However, from the viewpoint of nonequilibrium thermodynamics, the effect of external force on the chemical reaction,  specially on the kinetic efficiency[4] and time dependent energetics[5], are not well understood and that too for large deviation[6,7,8] in the chemical process is not available.</w:t>
      </w:r>
    </w:p>
    <w:p>
      <w:pPr>
        <w:pStyle w:val="Heading3"/>
        <w:spacing w:before="147" w:after="0"/>
        <w:jc w:val="both"/>
        <w:rPr>
          <w:color w:val="BF5A14"/>
        </w:rPr>
      </w:pPr>
      <w:r>
        <w:rPr>
          <w:color w:val="BF5A14"/>
        </w:rPr>
      </w:r>
    </w:p>
    <w:p>
      <w:pPr>
        <w:pStyle w:val="TextBody"/>
        <w:spacing w:lineRule="auto" w:line="276" w:before="90" w:after="0"/>
        <w:ind w:left="100" w:hanging="0"/>
        <w:jc w:val="both"/>
        <w:rPr/>
      </w:pPr>
      <w:r>
        <w:rPr/>
        <w:t xml:space="preserve"> </w:t>
      </w:r>
      <w:r>
        <w:rPr/>
        <w:t>Here we have considered nonequilibrium turn over statistics of enzyme catalysis   in a chemiostatic flow with externally controllable parameters, like substrate injection rate and mechanical force. Large deviation theory gives the thermodynamic force of nonequilibrium steady state, as is usually recorded experimentally by single molecule technique, which plays a key role responsible for the dynamical symmetry of the scaled cumulant geneating function and large deviation rate function. Using some special properties of Legendre transformation here we have provided the relation involving the deviations of fluxes and dissipation rates which can be utilized to understand the role of chemical potential at nonequilibrium steady state to control the Fano factor.</w:t>
      </w:r>
    </w:p>
    <w:p>
      <w:pPr>
        <w:pStyle w:val="TextBody"/>
        <w:spacing w:before="2" w:after="0"/>
        <w:rPr>
          <w:rFonts w:ascii="Arial" w:hAnsi="Arial"/>
          <w:b/>
          <w:b/>
          <w:sz w:val="16"/>
        </w:rPr>
      </w:pPr>
      <w:r>
        <w:rPr>
          <w:rFonts w:ascii="Arial" w:hAnsi="Arial"/>
          <w:b/>
          <w:sz w:val="16"/>
        </w:rPr>
      </w:r>
    </w:p>
    <w:p>
      <w:pPr>
        <w:pStyle w:val="Normal"/>
        <w:spacing w:lineRule="exact" w:line="204"/>
        <w:rPr/>
      </w:pPr>
      <w:r>
        <w:rPr>
          <w:rFonts w:ascii="Arial" w:hAnsi="Arial"/>
          <w:b/>
          <w:color w:val="BF5A14"/>
          <w:sz w:val="20"/>
        </w:rPr>
        <w:br/>
        <w:t>References(8)</w:t>
      </w:r>
    </w:p>
    <w:p>
      <w:pPr>
        <w:pStyle w:val="Normal"/>
        <w:spacing w:lineRule="exact" w:line="204"/>
        <w:rPr>
          <w:rFonts w:ascii="Arial" w:hAnsi="Arial"/>
          <w:b/>
          <w:b/>
          <w:color w:val="BF5A14"/>
          <w:sz w:val="20"/>
        </w:rPr>
      </w:pPr>
      <w:r>
        <w:rPr>
          <w:rFonts w:ascii="Arial" w:hAnsi="Arial"/>
          <w:b/>
          <w:color w:val="BF5A14"/>
          <w:sz w:val="20"/>
        </w:rPr>
      </w:r>
    </w:p>
    <w:p>
      <w:pPr>
        <w:pStyle w:val="Normal"/>
        <w:spacing w:lineRule="exact" w:line="204"/>
        <w:rPr/>
      </w:pPr>
      <w:r>
        <w:rPr>
          <w:rFonts w:ascii="Arial" w:hAnsi="Arial"/>
          <w:b/>
          <w:color w:val="BF5A14"/>
          <w:sz w:val="20"/>
        </w:rPr>
        <w:t>1. T. Palmer and P. Bonner, Enzymes: Biochemistry, Biotechnology, Clinical Chemistry, 2nd ed. (East-West, New Delhi, 2008).</w:t>
      </w:r>
    </w:p>
    <w:p>
      <w:pPr>
        <w:pStyle w:val="Normal"/>
        <w:spacing w:lineRule="exact" w:line="204"/>
        <w:rPr>
          <w:rFonts w:ascii="Arial" w:hAnsi="Arial"/>
          <w:b/>
          <w:b/>
          <w:color w:val="BF5A14"/>
          <w:sz w:val="20"/>
        </w:rPr>
      </w:pPr>
      <w:r>
        <w:rPr>
          <w:rFonts w:ascii="Arial" w:hAnsi="Arial"/>
          <w:b/>
          <w:color w:val="BF5A14"/>
          <w:sz w:val="20"/>
        </w:rPr>
      </w:r>
    </w:p>
    <w:p>
      <w:pPr>
        <w:pStyle w:val="Normal"/>
        <w:spacing w:lineRule="exact" w:line="204"/>
        <w:rPr/>
      </w:pPr>
      <w:r>
        <w:rPr>
          <w:rFonts w:ascii="Arial" w:hAnsi="Arial"/>
          <w:b/>
          <w:color w:val="BF5A14"/>
          <w:sz w:val="20"/>
        </w:rPr>
        <w:t>2 H. P. Lu, L. Xun, and X. S. Xie, Science 282, 1877 (1998).</w:t>
      </w:r>
    </w:p>
    <w:p>
      <w:pPr>
        <w:pStyle w:val="Normal"/>
        <w:spacing w:lineRule="exact" w:line="204"/>
        <w:rPr>
          <w:rFonts w:ascii="Arial" w:hAnsi="Arial"/>
          <w:b/>
          <w:b/>
          <w:color w:val="BF5A14"/>
          <w:sz w:val="20"/>
        </w:rPr>
      </w:pPr>
      <w:r>
        <w:rPr>
          <w:rFonts w:ascii="Arial" w:hAnsi="Arial"/>
          <w:b/>
          <w:color w:val="BF5A14"/>
          <w:sz w:val="20"/>
        </w:rPr>
      </w:r>
    </w:p>
    <w:p>
      <w:pPr>
        <w:pStyle w:val="Normal"/>
        <w:spacing w:lineRule="exact" w:line="204"/>
        <w:rPr/>
      </w:pPr>
      <w:r>
        <w:rPr>
          <w:rFonts w:ascii="Arial" w:hAnsi="Arial"/>
          <w:b/>
          <w:color w:val="BF5A14"/>
          <w:sz w:val="20"/>
        </w:rPr>
        <w:t>3.  O. K. Dudko, G. Hummer, and A. Szabo, Proc. Natl. Acad. Sci. U. S. A. 105, 15755 (2008).</w:t>
      </w:r>
    </w:p>
    <w:p>
      <w:pPr>
        <w:pStyle w:val="Normal"/>
        <w:spacing w:lineRule="exact" w:line="204"/>
        <w:rPr>
          <w:rFonts w:ascii="Arial" w:hAnsi="Arial"/>
          <w:b/>
          <w:b/>
          <w:color w:val="BF5A14"/>
          <w:sz w:val="20"/>
        </w:rPr>
      </w:pPr>
      <w:r>
        <w:rPr>
          <w:rFonts w:ascii="Arial" w:hAnsi="Arial"/>
          <w:b/>
          <w:color w:val="BF5A14"/>
          <w:sz w:val="20"/>
        </w:rPr>
      </w:r>
    </w:p>
    <w:p>
      <w:pPr>
        <w:pStyle w:val="Normal"/>
        <w:spacing w:lineRule="exact" w:line="204"/>
        <w:rPr/>
      </w:pPr>
      <w:r>
        <w:rPr>
          <w:rFonts w:ascii="Arial" w:hAnsi="Arial"/>
          <w:b/>
          <w:color w:val="BF5A14"/>
          <w:sz w:val="20"/>
        </w:rPr>
        <w:t>4. A. B. Kolomeisky and M. E. Fisher, Annu. Rev. Phys. Chem. 58, 675 (2007).</w:t>
      </w:r>
    </w:p>
    <w:p>
      <w:pPr>
        <w:pStyle w:val="Normal"/>
        <w:spacing w:lineRule="exact" w:line="204"/>
        <w:rPr>
          <w:rFonts w:ascii="Arial" w:hAnsi="Arial"/>
          <w:b/>
          <w:b/>
          <w:color w:val="BF5A14"/>
          <w:sz w:val="20"/>
        </w:rPr>
      </w:pPr>
      <w:r>
        <w:rPr>
          <w:rFonts w:ascii="Arial" w:hAnsi="Arial"/>
          <w:b/>
          <w:color w:val="BF5A14"/>
          <w:sz w:val="20"/>
        </w:rPr>
      </w:r>
    </w:p>
    <w:p>
      <w:pPr>
        <w:pStyle w:val="Normal"/>
        <w:spacing w:lineRule="exact" w:line="204"/>
        <w:rPr/>
      </w:pPr>
      <w:r>
        <w:rPr>
          <w:rFonts w:ascii="Arial" w:hAnsi="Arial"/>
          <w:b/>
          <w:color w:val="BF5A14"/>
          <w:sz w:val="20"/>
        </w:rPr>
        <w:t>5.</w:t>
      </w:r>
      <w:r>
        <w:rPr>
          <w:rFonts w:ascii="Arial" w:hAnsi="Arial"/>
          <w:b/>
          <w:color w:val="BF5A14"/>
          <w:sz w:val="18"/>
        </w:rPr>
        <w:t xml:space="preserve"> H. Qian, Annu. Rev. Phys. Chem. 58, 113 (2007).</w:t>
      </w:r>
    </w:p>
    <w:p>
      <w:pPr>
        <w:pStyle w:val="Normal"/>
        <w:spacing w:lineRule="exact" w:line="204"/>
        <w:rPr>
          <w:rFonts w:ascii="Arial" w:hAnsi="Arial"/>
          <w:b/>
          <w:b/>
          <w:color w:val="BF5A14"/>
          <w:sz w:val="18"/>
        </w:rPr>
      </w:pPr>
      <w:r>
        <w:rPr>
          <w:rFonts w:ascii="Arial" w:hAnsi="Arial"/>
          <w:b/>
          <w:color w:val="BF5A14"/>
          <w:sz w:val="18"/>
        </w:rPr>
      </w:r>
    </w:p>
    <w:p>
      <w:pPr>
        <w:pStyle w:val="Normal"/>
        <w:spacing w:lineRule="exact" w:line="204"/>
        <w:rPr/>
      </w:pPr>
      <w:r>
        <w:rPr>
          <w:rFonts w:ascii="Arial" w:hAnsi="Arial"/>
          <w:b/>
          <w:color w:val="BF5A14"/>
          <w:sz w:val="18"/>
        </w:rPr>
        <w:t>6. H. Touchette, Phys. Rep. 478, 1 (2009).</w:t>
      </w:r>
    </w:p>
    <w:p>
      <w:pPr>
        <w:pStyle w:val="Normal"/>
        <w:spacing w:lineRule="exact" w:line="204"/>
        <w:rPr>
          <w:rFonts w:ascii="Arial" w:hAnsi="Arial"/>
          <w:b/>
          <w:b/>
          <w:color w:val="BF5A14"/>
          <w:sz w:val="18"/>
        </w:rPr>
      </w:pPr>
      <w:r>
        <w:rPr>
          <w:rFonts w:ascii="Arial" w:hAnsi="Arial"/>
          <w:b/>
          <w:color w:val="BF5A14"/>
          <w:sz w:val="18"/>
        </w:rPr>
      </w:r>
    </w:p>
    <w:p>
      <w:pPr>
        <w:pStyle w:val="Normal"/>
        <w:spacing w:lineRule="exact" w:line="204"/>
        <w:rPr/>
      </w:pPr>
      <w:r>
        <w:rPr>
          <w:rFonts w:ascii="Arial" w:hAnsi="Arial"/>
          <w:b/>
          <w:color w:val="BF5A14"/>
          <w:sz w:val="18"/>
        </w:rPr>
        <w:t>7. T. Willaert, B. Cleuren, and C. Van den Broeck, Eur. Phys. J. B 87, 127 (2014).</w:t>
      </w:r>
    </w:p>
    <w:p>
      <w:pPr>
        <w:pStyle w:val="Normal"/>
        <w:spacing w:lineRule="exact" w:line="204"/>
        <w:rPr>
          <w:rFonts w:ascii="Arial" w:hAnsi="Arial"/>
          <w:b/>
          <w:b/>
          <w:color w:val="BF5A14"/>
          <w:sz w:val="18"/>
        </w:rPr>
      </w:pPr>
      <w:r>
        <w:rPr>
          <w:rFonts w:ascii="Arial" w:hAnsi="Arial"/>
          <w:b/>
          <w:color w:val="BF5A14"/>
          <w:sz w:val="18"/>
        </w:rPr>
      </w:r>
    </w:p>
    <w:p>
      <w:pPr>
        <w:pStyle w:val="Normal"/>
        <w:spacing w:lineRule="exact" w:line="204"/>
        <w:rPr/>
      </w:pPr>
      <w:r>
        <w:rPr>
          <w:rFonts w:ascii="Arial" w:hAnsi="Arial"/>
          <w:b/>
          <w:color w:val="BF5A14"/>
          <w:sz w:val="18"/>
        </w:rPr>
        <w:t>8</w:t>
      </w:r>
      <w:r>
        <w:rPr>
          <w:rFonts w:ascii="Arial" w:hAnsi="Arial"/>
          <w:b/>
          <w:color w:val="BF5A14"/>
          <w:sz w:val="18"/>
        </w:rPr>
        <w:t>. B. Das and G. Gangopadhyay(2018)  Large deviation theory for the kinetics and energetics of turnover of enzyme</w:t>
      </w:r>
    </w:p>
    <w:p>
      <w:pPr>
        <w:pStyle w:val="Normal"/>
        <w:spacing w:lineRule="exact" w:line="204"/>
        <w:rPr>
          <w:rFonts w:ascii="Arial" w:hAnsi="Arial"/>
          <w:b/>
          <w:b/>
          <w:color w:val="BF5A14"/>
          <w:sz w:val="18"/>
        </w:rPr>
      </w:pPr>
      <w:r>
        <w:rPr>
          <w:rFonts w:ascii="Arial" w:hAnsi="Arial"/>
          <w:b/>
          <w:color w:val="BF5A14"/>
          <w:sz w:val="18"/>
        </w:rPr>
      </w:r>
    </w:p>
    <w:p>
      <w:pPr>
        <w:pStyle w:val="ListParagraph"/>
        <w:numPr>
          <w:ilvl w:val="0"/>
          <w:numId w:val="0"/>
        </w:numPr>
        <w:tabs>
          <w:tab w:val="left" w:pos="384" w:leader="none"/>
        </w:tabs>
        <w:spacing w:lineRule="exact" w:line="216"/>
        <w:ind w:left="483" w:right="137" w:hanging="0"/>
        <w:rPr>
          <w:rFonts w:ascii="Calibri" w:hAnsi="Calibri"/>
          <w:sz w:val="18"/>
        </w:rPr>
      </w:pPr>
      <w:r>
        <w:rPr>
          <w:sz w:val="18"/>
        </w:rPr>
      </w:r>
    </w:p>
    <w:p>
      <w:pPr>
        <w:sectPr>
          <w:type w:val="continuous"/>
          <w:pgSz w:w="11906" w:h="16838"/>
          <w:pgMar w:left="620" w:right="600" w:header="541" w:top="1740" w:footer="642" w:bottom="840" w:gutter="0"/>
          <w:cols w:num="2" w:equalWidth="false" w:sep="false">
            <w:col w:w="5211" w:space="138"/>
            <w:col w:w="5336"/>
          </w:cols>
          <w:formProt w:val="false"/>
          <w:textDirection w:val="lrTb"/>
          <w:docGrid w:type="default" w:linePitch="600" w:charSpace="36864"/>
        </w:sectPr>
      </w:pPr>
    </w:p>
    <w:p>
      <w:pPr>
        <w:pStyle w:val="TextBody"/>
        <w:rPr>
          <w:rFonts w:ascii="Calibri" w:hAnsi="Calibri"/>
          <w:sz w:val="20"/>
        </w:rPr>
      </w:pPr>
      <w:r>
        <w:rPr>
          <w:rFonts w:ascii="Calibri" w:hAnsi="Calibri"/>
          <w:sz w:val="20"/>
        </w:rPr>
      </w:r>
    </w:p>
    <w:p>
      <w:pPr>
        <w:pStyle w:val="TextBody"/>
        <w:spacing w:lineRule="exact" w:line="40"/>
        <w:ind w:left="2202" w:hanging="0"/>
        <w:rPr/>
      </w:pPr>
      <w:r>
        <w:rPr/>
        <mc:AlternateContent>
          <mc:Choice Requires="wpg">
            <w:drawing>
              <wp:inline distT="0" distB="0" distL="0" distR="0">
                <wp:extent cx="3977005" cy="1270"/>
                <wp:effectExtent l="0" t="0" r="0" b="0"/>
                <wp:docPr id="1" name=""/>
                <a:graphic xmlns:a="http://schemas.openxmlformats.org/drawingml/2006/main">
                  <a:graphicData uri="http://schemas.microsoft.com/office/word/2010/wordprocessingGroup">
                    <wpg:wgp>
                      <wpg:cNvGrpSpPr/>
                      <wpg:grpSpPr>
                        <a:xfrm>
                          <a:off x="0" y="0"/>
                          <a:ext cx="3976200" cy="720"/>
                        </a:xfrm>
                      </wpg:grpSpPr>
                      <wps:wsp>
                        <wps:cNvSpPr/>
                        <wps:spPr>
                          <a:xfrm flipV="1">
                            <a:off x="0" y="0"/>
                            <a:ext cx="3976200" cy="720"/>
                          </a:xfrm>
                          <a:prstGeom prst="line">
                            <a:avLst/>
                          </a:prstGeom>
                          <a:ln w="25560">
                            <a:solidFill>
                              <a:srgbClr val="004080"/>
                            </a:solidFill>
                            <a:round/>
                          </a:ln>
                        </wps:spPr>
                        <wps:style>
                          <a:lnRef idx="0"/>
                          <a:fillRef idx="0"/>
                          <a:effectRef idx="0"/>
                          <a:fontRef idx="minor"/>
                        </wps:style>
                        <wps:bodyPr/>
                      </wps:wsp>
                    </wpg:wgp>
                  </a:graphicData>
                </a:graphic>
              </wp:inline>
            </w:drawing>
          </mc:Choice>
          <mc:Fallback>
            <w:pict>
              <v:group id="shape_0" style="position:absolute;margin-left:0pt;margin-top:-0.1pt;width:313.05pt;height:0pt" coordorigin="0,-2" coordsize="6261,0">
                <v:line id="shape_0" from="0,-2" to="6261,-2" stroked="t" style="position:absolute;flip:y;mso-position-vertical:top">
                  <v:stroke color="#004080" weight="25560" joinstyle="round" endcap="flat"/>
                  <v:fill o:detectmouseclick="t" on="false"/>
                </v:line>
              </v:group>
            </w:pict>
          </mc:Fallback>
        </mc:AlternateContent>
        <w:drawing>
          <wp:anchor behindDoc="0" distT="0" distB="0" distL="0" distR="0" simplePos="0" locked="0" layoutInCell="1" allowOverlap="1" relativeHeight="3">
            <wp:simplePos x="0" y="0"/>
            <wp:positionH relativeFrom="column">
              <wp:align>center</wp:align>
            </wp:positionH>
            <wp:positionV relativeFrom="paragraph">
              <wp:posOffset>635</wp:posOffset>
            </wp:positionV>
            <wp:extent cx="1196340" cy="843280"/>
            <wp:effectExtent l="0" t="0" r="0" b="0"/>
            <wp:wrapSquare wrapText="largest"/>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4"/>
                    <a:stretch>
                      <a:fillRect/>
                    </a:stretch>
                  </pic:blipFill>
                  <pic:spPr bwMode="auto">
                    <a:xfrm>
                      <a:off x="0" y="0"/>
                      <a:ext cx="1196340" cy="843280"/>
                    </a:xfrm>
                    <a:prstGeom prst="rect">
                      <a:avLst/>
                    </a:prstGeom>
                  </pic:spPr>
                </pic:pic>
              </a:graphicData>
            </a:graphic>
          </wp:anchor>
        </w:drawing>
      </w:r>
    </w:p>
    <w:p>
      <w:pPr>
        <w:pStyle w:val="Normal"/>
        <w:spacing w:before="92" w:after="0"/>
        <w:ind w:right="4234" w:hanging="0"/>
        <w:rPr>
          <w:rFonts w:ascii="Arial" w:hAnsi="Arial"/>
        </w:rPr>
      </w:pPr>
      <w:r>
        <w:rPr/>
        <w:t xml:space="preserve">                 </w:t>
      </w:r>
      <w:r>
        <w:rPr>
          <w:rFonts w:ascii="Arial" w:hAnsi="Arial"/>
          <w:color w:val="BF5A14"/>
        </w:rPr>
        <w:t>Biography (150 word limit)</w:t>
      </w:r>
    </w:p>
    <w:p>
      <w:pPr>
        <w:pStyle w:val="Normal"/>
        <w:spacing w:lineRule="exact" w:line="154" w:before="41" w:after="0"/>
        <w:ind w:left="213" w:right="231" w:hanging="0"/>
        <w:jc w:val="both"/>
        <w:rPr/>
      </w:pPr>
      <w:r>
        <w:rPr>
          <w:rFonts w:ascii="Arial" w:hAnsi="Arial"/>
          <w:sz w:val="14"/>
        </w:rPr>
        <w:t xml:space="preserve">Dr. Gautam Gangopadhyay is currently a Professor at S N Bose National Centre for Basic Sciences, Kolkata, India, working in the Department of Chemical Biological and Macromolecular Sciences. He is a theoretical Chemist with a broad area of interest in nonequilibrium processes of Chemistry and Biology using  classical and quantum dynamics. </w:t>
      </w:r>
    </w:p>
    <w:p>
      <w:pPr>
        <w:pStyle w:val="Normal"/>
        <w:spacing w:before="62" w:after="0"/>
        <w:ind w:left="4217" w:right="4235" w:hanging="0"/>
        <w:jc w:val="center"/>
        <w:rPr/>
      </w:pPr>
      <w:r>
        <w:rPr>
          <w:rFonts w:ascii="Arial" w:hAnsi="Arial"/>
          <w:sz w:val="14"/>
        </w:rPr>
        <w:t>Email: gautam@bose.res.in</w:t>
      </w:r>
    </w:p>
    <w:p>
      <w:pPr>
        <w:pStyle w:val="TextBody"/>
        <w:spacing w:before="2" w:after="0"/>
        <w:rPr>
          <w:rFonts w:ascii="Arial" w:hAnsi="Arial"/>
          <w:sz w:val="19"/>
        </w:rPr>
      </w:pPr>
      <w:r>
        <w:rPr>
          <w:rFonts w:ascii="Arial" w:hAnsi="Arial"/>
          <w:sz w:val="19"/>
        </w:rPr>
        <mc:AlternateContent>
          <mc:Choice Requires="wps">
            <w:drawing>
              <wp:anchor behindDoc="0" distT="0" distB="0" distL="0" distR="0" simplePos="0" locked="0" layoutInCell="1" allowOverlap="1" relativeHeight="2">
                <wp:simplePos x="0" y="0"/>
                <wp:positionH relativeFrom="page">
                  <wp:posOffset>2058670</wp:posOffset>
                </wp:positionH>
                <wp:positionV relativeFrom="paragraph">
                  <wp:posOffset>168275</wp:posOffset>
                </wp:positionV>
                <wp:extent cx="3443605" cy="1905"/>
                <wp:effectExtent l="10795" t="6985" r="13970" b="12065"/>
                <wp:wrapTopAndBottom/>
                <wp:docPr id="3" name="Line 3"/>
                <a:graphic xmlns:a="http://schemas.openxmlformats.org/drawingml/2006/main">
                  <a:graphicData uri="http://schemas.microsoft.com/office/word/2010/wordprocessingShape">
                    <wps:wsp>
                      <wps:cNvSpPr/>
                      <wps:spPr>
                        <a:xfrm>
                          <a:off x="0" y="0"/>
                          <a:ext cx="3443040" cy="1440"/>
                        </a:xfrm>
                        <a:prstGeom prst="line">
                          <a:avLst/>
                        </a:prstGeom>
                        <a:ln w="6480">
                          <a:solidFill>
                            <a:srgbClr val="004080"/>
                          </a:solidFill>
                          <a:round/>
                        </a:ln>
                      </wps:spPr>
                      <wps:style>
                        <a:lnRef idx="0"/>
                        <a:fillRef idx="0"/>
                        <a:effectRef idx="0"/>
                        <a:fontRef idx="minor"/>
                      </wps:style>
                      <wps:bodyPr/>
                    </wps:wsp>
                  </a:graphicData>
                </a:graphic>
              </wp:anchor>
            </w:drawing>
          </mc:Choice>
          <mc:Fallback>
            <w:pict>
              <v:line id="shape_0" from="162.1pt,13.25pt" to="433.15pt,13.3pt" ID="Line 3" stroked="t" style="position:absolute;mso-position-horizontal-relative:page">
                <v:stroke color="#004080" weight="6480" joinstyle="round" endcap="flat"/>
                <v:fill o:detectmouseclick="t" on="false"/>
              </v:line>
            </w:pict>
          </mc:Fallback>
        </mc:AlternateContent>
      </w:r>
    </w:p>
    <w:p>
      <w:pPr>
        <w:pStyle w:val="TextBody"/>
        <w:rPr>
          <w:rFonts w:ascii="Arial" w:hAnsi="Arial"/>
          <w:sz w:val="20"/>
        </w:rPr>
      </w:pPr>
      <w:r>
        <w:rPr>
          <w:rFonts w:ascii="Arial" w:hAnsi="Arial"/>
          <w:sz w:val="20"/>
        </w:rPr>
      </w:r>
    </w:p>
    <w:p>
      <w:pPr>
        <w:pStyle w:val="TextBody"/>
        <w:rPr>
          <w:rFonts w:ascii="Arial" w:hAnsi="Arial"/>
          <w:sz w:val="20"/>
        </w:rPr>
      </w:pPr>
      <w:r>
        <w:rPr>
          <w:rFonts w:ascii="Arial" w:hAnsi="Arial"/>
          <w:sz w:val="20"/>
        </w:rPr>
      </w:r>
    </w:p>
    <w:p>
      <w:pPr>
        <w:pStyle w:val="TextBody"/>
        <w:spacing w:before="7" w:after="0"/>
        <w:rPr>
          <w:rFonts w:ascii="Arial" w:hAnsi="Arial"/>
          <w:sz w:val="29"/>
        </w:rPr>
      </w:pPr>
      <w:r>
        <w:rPr>
          <w:rFonts w:ascii="Arial" w:hAnsi="Arial"/>
          <w:sz w:val="29"/>
        </w:rPr>
      </w:r>
    </w:p>
    <w:p>
      <w:pPr>
        <w:pStyle w:val="Normal"/>
        <w:spacing w:before="39" w:after="0"/>
        <w:ind w:left="100" w:hanging="0"/>
        <w:rPr>
          <w:rFonts w:ascii="Minion Pro" w:hAnsi="Minion Pro"/>
          <w:b/>
          <w:b/>
          <w:sz w:val="20"/>
        </w:rPr>
      </w:pPr>
      <w:r>
        <w:rPr>
          <w:rFonts w:ascii="Minion Pro" w:hAnsi="Minion Pro"/>
          <w:b/>
          <w:sz w:val="20"/>
        </w:rPr>
        <w:t>Notes/Comments:</w:t>
      </w:r>
    </w:p>
    <w:p>
      <w:pPr>
        <w:sectPr>
          <w:type w:val="continuous"/>
          <w:pgSz w:w="11906" w:h="16838"/>
          <w:pgMar w:left="620" w:right="600" w:header="541" w:top="1740" w:footer="642" w:bottom="840" w:gutter="0"/>
          <w:formProt w:val="false"/>
          <w:textDirection w:val="lrTb"/>
          <w:docGrid w:type="default" w:linePitch="600" w:charSpace="36864"/>
        </w:sectPr>
      </w:pPr>
    </w:p>
    <w:p>
      <w:pPr>
        <w:pStyle w:val="TextBody"/>
        <w:spacing w:before="3" w:after="0"/>
        <w:rPr/>
      </w:pPr>
      <w:r>
        <w:rPr/>
      </w:r>
    </w:p>
    <w:sectPr>
      <w:type w:val="continuous"/>
      <w:pgSz w:w="11906" w:h="16838"/>
      <w:pgMar w:left="620" w:right="600" w:header="541" w:top="1740" w:footer="642" w:bottom="840" w:gutter="0"/>
      <w:cols w:num="2" w:equalWidth="false" w:sep="false">
        <w:col w:w="5202" w:space="138"/>
        <w:col w:w="5345"/>
      </w:cols>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9"/>
      <w:rPr>
        <w:sz w:val="20"/>
      </w:rPr>
    </w:pPr>
    <w:r>
      <w:rPr>
        <w:sz w:val="2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9"/>
      <w:rPr>
        <w:sz w:val="20"/>
      </w:rPr>
    </w:pPr>
    <w:r>
      <w:rPr>
        <w:sz w:val="20"/>
      </w:rPr>
    </w:r>
  </w:p>
</w:hdr>
</file>

<file path=word/settings.xml><?xml version="1.0" encoding="utf-8"?>
<w:settings xmlns:w="http://schemas.openxmlformats.org/wordprocessingml/2006/main">
  <w:zoom w:percent="13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bidi w:val="0"/>
      <w:jc w:val="left"/>
    </w:pPr>
    <w:rPr>
      <w:rFonts w:ascii="Tw Cen MT" w:hAnsi="Tw Cen MT" w:eastAsia="Tw Cen MT" w:cs="Tw Cen MT"/>
      <w:color w:val="auto"/>
      <w:kern w:val="0"/>
      <w:sz w:val="22"/>
      <w:szCs w:val="22"/>
      <w:lang w:val="en-US" w:eastAsia="en-US" w:bidi="ar-SA"/>
    </w:rPr>
  </w:style>
  <w:style w:type="paragraph" w:styleId="Heading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Heading3">
    <w:name w:val="Heading 3"/>
    <w:basedOn w:val="Normal"/>
    <w:uiPriority w:val="1"/>
    <w:qFormat/>
    <w:rsid w:val="00cd6f55"/>
    <w:pPr>
      <w:ind w:left="100" w:hanging="0"/>
      <w:outlineLvl w:val="2"/>
    </w:pPr>
    <w:rPr>
      <w:rFonts w:ascii="Arial" w:hAnsi="Arial" w:eastAsia="Arial" w:cs="Arial"/>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InternetLink">
    <w:name w:val="Internet Link"/>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character" w:styleId="ListLabel1">
    <w:name w:val="ListLabel 1"/>
    <w:qFormat/>
    <w:rPr>
      <w:rFonts w:eastAsia="Calibri" w:cs="Calibri"/>
      <w:spacing w:val="-16"/>
      <w:w w:val="100"/>
      <w:sz w:val="18"/>
      <w:szCs w:val="18"/>
    </w:rPr>
  </w:style>
  <w:style w:type="character" w:styleId="ListLabel2">
    <w:name w:val="ListLabel 2"/>
    <w:qFormat/>
    <w:rPr>
      <w:rFonts w:eastAsia="Calibri" w:cs="Calibri"/>
      <w:spacing w:val="-16"/>
      <w:w w:val="100"/>
      <w:sz w:val="18"/>
      <w:szCs w:val="18"/>
    </w:rPr>
  </w:style>
  <w:style w:type="character" w:styleId="ListLabel3">
    <w:name w:val="ListLabel 3"/>
    <w:qFormat/>
    <w:rPr>
      <w:rFonts w:eastAsia="Calibri" w:cs="Calibri"/>
      <w:spacing w:val="-16"/>
      <w:w w:val="100"/>
      <w:sz w:val="18"/>
      <w:szCs w:val="18"/>
    </w:rPr>
  </w:style>
  <w:style w:type="character" w:styleId="ListLabel4">
    <w:name w:val="ListLabel 4"/>
    <w:qFormat/>
    <w:rPr>
      <w:rFonts w:ascii="Arial" w:hAnsi="Arial"/>
      <w:color w:val="FFFFFF" w:themeColor="background1"/>
      <w:sz w:val="14"/>
    </w:rPr>
  </w:style>
  <w:style w:type="character" w:styleId="ListLabel5">
    <w:name w:val="ListLabel 5"/>
    <w:qFormat/>
    <w:rPr>
      <w:rFonts w:ascii="Arial" w:hAnsi="Arial"/>
      <w:sz w:val="14"/>
    </w:rPr>
  </w:style>
  <w:style w:type="character" w:styleId="ListLabel6">
    <w:name w:val="ListLabel 6"/>
    <w:qFormat/>
    <w:rPr>
      <w:rFonts w:eastAsia="Calibri" w:cs="Calibri"/>
      <w:spacing w:val="-16"/>
      <w:w w:val="100"/>
      <w:sz w:val="18"/>
      <w:szCs w:val="18"/>
    </w:rPr>
  </w:style>
  <w:style w:type="character" w:styleId="ListLabel7">
    <w:name w:val="ListLabel 7"/>
    <w:qFormat/>
    <w:rPr>
      <w:rFonts w:cs="Symbol"/>
    </w:rPr>
  </w:style>
  <w:style w:type="character" w:styleId="ListLabel8">
    <w:name w:val="ListLabel 8"/>
    <w:qFormat/>
    <w:rPr>
      <w:rFonts w:cs="Symbol"/>
    </w:rPr>
  </w:style>
  <w:style w:type="character" w:styleId="ListLabel9">
    <w:name w:val="ListLabel 9"/>
    <w:qFormat/>
    <w:rPr>
      <w:rFonts w:cs="Symbol"/>
    </w:rPr>
  </w:style>
  <w:style w:type="character" w:styleId="ListLabel10">
    <w:name w:val="ListLabel 10"/>
    <w:qFormat/>
    <w:rPr>
      <w:rFonts w:cs="Symbol"/>
    </w:rPr>
  </w:style>
  <w:style w:type="character" w:styleId="ListLabel11">
    <w:name w:val="ListLabel 11"/>
    <w:qFormat/>
    <w:rPr>
      <w:rFonts w:cs="Symbol"/>
    </w:rPr>
  </w:style>
  <w:style w:type="character" w:styleId="ListLabel12">
    <w:name w:val="ListLabel 12"/>
    <w:qFormat/>
    <w:rPr>
      <w:rFonts w:cs="Symbol"/>
    </w:rPr>
  </w:style>
  <w:style w:type="character" w:styleId="ListLabel13">
    <w:name w:val="ListLabel 13"/>
    <w:qFormat/>
    <w:rPr>
      <w:rFonts w:cs="Symbol"/>
    </w:rPr>
  </w:style>
  <w:style w:type="character" w:styleId="ListLabel14">
    <w:name w:val="ListLabel 14"/>
    <w:qFormat/>
    <w:rPr>
      <w:rFonts w:cs="Symbol"/>
    </w:rPr>
  </w:style>
  <w:style w:type="paragraph" w:styleId="Heading">
    <w:name w:val="Heading"/>
    <w:basedOn w:val="Normal"/>
    <w:next w:val="TextBody"/>
    <w:qFormat/>
    <w:pPr>
      <w:keepNext w:val="true"/>
      <w:spacing w:before="240" w:after="120"/>
    </w:pPr>
    <w:rPr>
      <w:rFonts w:ascii="Liberation Sans" w:hAnsi="Liberation Sans" w:eastAsia="AR PL SungtiL GB" w:cs="Lohit Devanagari"/>
      <w:sz w:val="28"/>
      <w:szCs w:val="28"/>
    </w:rPr>
  </w:style>
  <w:style w:type="paragraph" w:styleId="TextBody">
    <w:name w:val="Body Text"/>
    <w:basedOn w:val="Normal"/>
    <w:link w:val="BodyTextChar"/>
    <w:uiPriority w:val="1"/>
    <w:qFormat/>
    <w:rsid w:val="00cd6f55"/>
    <w:pPr/>
    <w:rPr>
      <w:sz w:val="18"/>
      <w:szCs w:val="18"/>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Header">
    <w:name w:val="Header"/>
    <w:basedOn w:val="Normal"/>
    <w:link w:val="HeaderChar"/>
    <w:uiPriority w:val="99"/>
    <w:unhideWhenUsed/>
    <w:rsid w:val="005b3a56"/>
    <w:pPr>
      <w:tabs>
        <w:tab w:val="center" w:pos="4513" w:leader="none"/>
        <w:tab w:val="right" w:pos="9026" w:leader="none"/>
      </w:tabs>
    </w:pPr>
    <w:rPr/>
  </w:style>
  <w:style w:type="paragraph" w:styleId="Footer">
    <w:name w:val="Footer"/>
    <w:basedOn w:val="Normal"/>
    <w:link w:val="FooterChar"/>
    <w:uiPriority w:val="99"/>
    <w:unhideWhenUsed/>
    <w:rsid w:val="005b3a56"/>
    <w:pPr>
      <w:tabs>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LibreOffice/6.0.7.3$Linux_X86_64 LibreOffice_project/00m0$Build-3</Application>
  <Pages>1</Pages>
  <Words>440</Words>
  <Characters>2542</Characters>
  <CharactersWithSpaces>2992</CharactersWithSpaces>
  <Paragraphs>20</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2018-12-18T07:30:00Z</dcterms:created>
  <dc:creator>Materials Chemistry 2017</dc:creator>
  <dc:description/>
  <cp:keywords>Materials Chemistry</cp:keywords>
  <dc:language>en-IN</dc:language>
  <cp:lastModifiedBy/>
  <dcterms:modified xsi:type="dcterms:W3CDTF">2019-05-31T13:52:57Z</dcterms:modified>
  <cp:revision>5</cp:revision>
  <dc:subject/>
  <dc:title>Abstract Template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2016-08-23T00:00:00Z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y fmtid="{D5CDD505-2E9C-101B-9397-08002B2CF9AE}" pid="12" name="category">
    <vt:lpwstr>Materials Chemistry</vt:lpwstr>
  </property>
</Properties>
</file>