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pacing w:lineRule="auto" w:line="480" w:before="280" w:after="0"/>
        <w:ind w:left="0" w:hanging="0"/>
        <w:jc w:val="both"/>
        <w:rPr/>
      </w:pPr>
      <w:r>
        <w:rPr>
          <w:b/>
          <w:bCs/>
          <w:color w:val="337AB7"/>
          <w:sz w:val="28"/>
          <w:szCs w:val="28"/>
        </w:rPr>
        <w:t>Non-covalently Functionalized Novel Stable Complexes of Graphene and Small Molecules.</w:t>
      </w:r>
    </w:p>
    <w:p>
      <w:pPr>
        <w:pStyle w:val="TextBody"/>
        <w:spacing w:lineRule="exact" w:line="198" w:before="73" w:after="0"/>
        <w:ind w:left="100" w:right="5987" w:hanging="0"/>
        <w:rPr/>
      </w:pPr>
      <w:r>
        <w:rPr>
          <w:rFonts w:ascii="Arial" w:hAnsi="Arial"/>
        </w:rPr>
        <w:t xml:space="preserve">VIJAY MADHAV MIRIYALA, PhD, IOCB AS CZ, CZ </w:t>
      </w:r>
    </w:p>
    <w:p>
      <w:pPr>
        <w:pStyle w:val="TextBody"/>
        <w:spacing w:lineRule="exact" w:line="198" w:before="73" w:after="0"/>
        <w:ind w:left="100" w:right="5987" w:hanging="0"/>
        <w:rPr/>
      </w:pPr>
      <w:r>
        <w:rPr>
          <w:rFonts w:ascii="Arial" w:hAnsi="Arial"/>
        </w:rPr>
        <w:t>RABINDRANATH LO, PhD, IOCB AS CZ, CZ</w:t>
      </w:r>
    </w:p>
    <w:p>
      <w:pPr>
        <w:pStyle w:val="TextBody"/>
        <w:spacing w:lineRule="exact" w:line="198" w:before="73" w:after="0"/>
        <w:ind w:left="100" w:right="5987" w:hanging="0"/>
        <w:rPr/>
      </w:pPr>
      <w:r>
        <w:rPr>
          <w:rFonts w:ascii="Arial" w:hAnsi="Arial"/>
        </w:rPr>
        <w:t>AMRIT SARMAH, PhD, IOCB AS CZ, CZ</w:t>
      </w:r>
    </w:p>
    <w:p>
      <w:pPr>
        <w:pStyle w:val="TextBody"/>
        <w:widowControl/>
        <w:bidi w:val="0"/>
        <w:spacing w:lineRule="exact" w:line="198" w:before="73" w:after="0"/>
        <w:ind w:left="89" w:right="5849" w:hanging="0"/>
        <w:jc w:val="left"/>
        <w:rPr/>
      </w:pPr>
      <w:r>
        <w:rPr>
          <w:rFonts w:ascii="Arial" w:hAnsi="Arial"/>
        </w:rPr>
        <w:t xml:space="preserve">SUSANTA HALDAR, PhD, </w:t>
      </w:r>
      <w:r>
        <w:rPr>
          <w:rFonts w:ascii="Arial" w:hAnsi="Arial"/>
        </w:rPr>
        <w:t>UNIVERSITY OF BRISTOL, UK</w:t>
      </w:r>
      <w:r>
        <w:rPr>
          <w:rFonts w:ascii="Arial" w:hAnsi="Arial"/>
        </w:rPr>
        <w:t xml:space="preserve"> </w:t>
      </w:r>
    </w:p>
    <w:p>
      <w:pPr>
        <w:pStyle w:val="TextBody"/>
        <w:spacing w:lineRule="exact" w:line="198" w:before="73" w:after="0"/>
        <w:ind w:left="100" w:right="5987" w:hanging="0"/>
        <w:rPr/>
      </w:pPr>
      <w:r>
        <w:rPr>
          <w:rFonts w:ascii="Arial" w:hAnsi="Arial"/>
        </w:rPr>
        <w:t>PAVEL HOBZA, RN PhD, IOCB AS CZ, CZ</w:t>
      </w:r>
    </w:p>
    <w:p>
      <w:pPr>
        <w:pStyle w:val="TextBody"/>
        <w:rPr>
          <w:rFonts w:ascii="Arial" w:hAnsi="Arial"/>
          <w:sz w:val="20"/>
        </w:rPr>
      </w:pPr>
      <w:r>
        <w:rPr>
          <w:rFonts w:ascii="Arial" w:hAnsi="Arial"/>
          <w:sz w:val="20"/>
        </w:rPr>
      </w:r>
    </w:p>
    <w:p>
      <w:pPr>
        <w:sectPr>
          <w:headerReference w:type="default" r:id="rId2"/>
          <w:footerReference w:type="default" r:id="rId3"/>
          <w:type w:val="nextPage"/>
          <w:pgSz w:w="11906" w:h="16838"/>
          <w:pgMar w:left="620" w:right="600" w:header="541" w:top="1740" w:footer="642" w:bottom="840" w:gutter="0"/>
          <w:pgNumType w:fmt="decimal"/>
          <w:formProt w:val="false"/>
          <w:textDirection w:val="lrTb"/>
          <w:docGrid w:type="default" w:linePitch="600" w:charSpace="4294965247"/>
        </w:sectPr>
      </w:pPr>
    </w:p>
    <w:p>
      <w:pPr>
        <w:pStyle w:val="Heading3"/>
        <w:spacing w:before="147" w:after="0"/>
        <w:ind w:hanging="0"/>
        <w:jc w:val="both"/>
        <w:rPr/>
      </w:pPr>
      <w:r>
        <w:rPr>
          <w:color w:val="BF5A14"/>
        </w:rPr>
        <w:t>Abstract</w:t>
      </w:r>
    </w:p>
    <w:p>
      <w:pPr>
        <w:pStyle w:val="TextBody"/>
        <w:spacing w:lineRule="auto" w:line="276" w:before="90" w:after="0"/>
        <w:ind w:left="100" w:hanging="0"/>
        <w:jc w:val="both"/>
        <w:rPr/>
      </w:pPr>
      <w:r>
        <w:rPr/>
        <w:t xml:space="preserve">Graphene, due to its special honey comb like structure possesses some very special properties such as intersection of the valence band and the conduction band at the Dirac point where the energy momentum dispersion is linear and hence known to be a very good charge carrier. The interactions between  graphene and different chemical species like electro-active molecules such as electron donors and electron acceptors have been well known for many potential applications in the field of graphene based potential devices. </w:t>
      </w:r>
      <w:r>
        <w:rPr/>
        <w:t xml:space="preserve">Intensive investigations are ongoing both experimentally and theoretically to assess the interaction between graphene and different molecules on the electronic properties of the graphene. </w:t>
      </w:r>
    </w:p>
    <w:p>
      <w:pPr>
        <w:pStyle w:val="TextBody"/>
        <w:spacing w:lineRule="auto" w:line="276" w:before="90" w:after="0"/>
        <w:ind w:left="100" w:hanging="0"/>
        <w:jc w:val="both"/>
        <w:rPr/>
      </w:pPr>
      <w:r>
        <w:rPr/>
        <w:t xml:space="preserve">A huge number of adsorption studies have been carried out so far on the graphene surface where the adsorbate particles spanned in the range from small organic molecules, to biomacromolecules such as proteins, amino acids, ss-RNA, ds-DNA, inorganic molecules and also monovalent and divalent ions. In many of those adsorption studies, the focus was mainly given to the adsorption pattern, stability and at the end to the origin of the stability. It was confirmed that in most of the cases the binding is non-covalent, mainly via stacking. Adsorption of a conjugated electro-active donor or acceptor on the graphene surface has been a promising way for designing new functionalized nanostructures. Among the various molecules studied for adsorption on the graphene surface, conjugated organic donors and acceptors are the most important, which are used to functionalize graphene due to compatibility and binding ability via </w:t>
      </w:r>
      <w:r>
        <w:rPr>
          <w:rFonts w:ascii="Tw Cen MT" w:hAnsi="Tw Cen MT"/>
          <w:b w:val="false"/>
          <w:i w:val="false"/>
          <w:caps w:val="false"/>
          <w:smallCaps w:val="false"/>
          <w:spacing w:val="0"/>
          <w:sz w:val="18"/>
          <w:szCs w:val="18"/>
        </w:rPr>
        <w:t>π-π</w:t>
      </w:r>
      <w:r>
        <w:rPr/>
        <w:t xml:space="preserve"> stacking, electrostatic forces, and hydrogen bonds. With the experience of our previous work on adsorption of small to medium sized molecules on graphene, we attempt to build </w:t>
      </w:r>
      <w:r>
        <w:rPr/>
        <w:t>unique</w:t>
      </w:r>
      <w:r>
        <w:rPr/>
        <w:t xml:space="preserve"> </w:t>
      </w:r>
      <w:r>
        <w:rPr/>
        <w:t xml:space="preserve">double and triple layer </w:t>
      </w:r>
      <w:r>
        <w:rPr/>
        <w:t xml:space="preserve">donor-acceptor-complexes </w:t>
      </w:r>
      <w:r>
        <w:rPr/>
        <w:t>on graphene surface that show</w:t>
      </w:r>
      <w:r>
        <w:rPr/>
        <w:t xml:space="preserve"> changes in electronic properties of graphene using different molecules that non-covalently functionalize graphene via charge transfer interactions </w:t>
      </w:r>
      <w:r>
        <w:rPr/>
        <w:t>calculated from QM and MM methods</w:t>
      </w:r>
      <w:r>
        <w:rPr/>
        <w:t>.</w:t>
      </w:r>
    </w:p>
    <w:p>
      <w:pPr>
        <w:pStyle w:val="Normal"/>
        <w:spacing w:lineRule="exact" w:line="204"/>
        <w:rPr/>
      </w:pPr>
      <w:r>
        <w:rPr>
          <w:rFonts w:ascii="Arial" w:hAnsi="Arial"/>
          <w:b/>
          <w:color w:val="BF5A14"/>
          <w:sz w:val="20"/>
        </w:rPr>
        <w:br/>
        <w:t>Recent Publications</w:t>
      </w:r>
    </w:p>
    <w:p>
      <w:pPr>
        <w:pStyle w:val="Normal"/>
        <w:numPr>
          <w:ilvl w:val="0"/>
          <w:numId w:val="1"/>
        </w:numPr>
        <w:tabs>
          <w:tab w:val="left" w:pos="384" w:leader="none"/>
        </w:tabs>
        <w:spacing w:lineRule="exact" w:line="216" w:before="103" w:after="0"/>
        <w:ind w:left="383" w:right="138" w:hanging="283"/>
        <w:jc w:val="both"/>
        <w:rPr>
          <w:b w:val="false"/>
          <w:i w:val="false"/>
          <w:caps w:val="false"/>
          <w:smallCaps w:val="false"/>
          <w:spacing w:val="0"/>
        </w:rPr>
      </w:pPr>
      <w:r>
        <w:rPr>
          <w:b w:val="false"/>
          <w:i w:val="false"/>
          <w:caps w:val="false"/>
          <w:smallCaps w:val="false"/>
          <w:spacing w:val="0"/>
          <w:sz w:val="18"/>
        </w:rPr>
        <w:t xml:space="preserve">Chen </w:t>
      </w:r>
      <w:r>
        <w:rPr>
          <w:b w:val="false"/>
          <w:i w:val="false"/>
          <w:caps w:val="false"/>
          <w:smallCaps w:val="false"/>
          <w:spacing w:val="0"/>
          <w:sz w:val="18"/>
        </w:rPr>
        <w:t>L</w:t>
      </w:r>
      <w:r>
        <w:rPr>
          <w:b w:val="false"/>
          <w:i w:val="false"/>
          <w:caps w:val="false"/>
          <w:smallCaps w:val="false"/>
          <w:spacing w:val="0"/>
          <w:sz w:val="18"/>
        </w:rPr>
        <w:t xml:space="preserve">, </w:t>
      </w:r>
      <w:r>
        <w:rPr>
          <w:b w:val="false"/>
          <w:i w:val="false"/>
          <w:caps w:val="false"/>
          <w:smallCaps w:val="false"/>
          <w:spacing w:val="0"/>
          <w:sz w:val="18"/>
        </w:rPr>
        <w:t xml:space="preserve">Wang L, Shuai Z, Beljonne D (2013) Energy Level Alignment and Charge Carrier Mobility in </w:t>
      </w:r>
      <w:r>
        <w:rPr>
          <w:b w:val="false"/>
          <w:i w:val="false"/>
          <w:caps w:val="false"/>
          <w:smallCaps w:val="false"/>
          <w:spacing w:val="0"/>
          <w:sz w:val="18"/>
          <w:szCs w:val="18"/>
        </w:rPr>
        <w:t xml:space="preserve">Noncovalently Functionalized Graphene. </w:t>
      </w:r>
      <w:r>
        <w:rPr>
          <w:b w:val="false"/>
          <w:i w:val="false"/>
          <w:caps w:val="false"/>
          <w:smallCaps w:val="false"/>
          <w:spacing w:val="0"/>
          <w:sz w:val="18"/>
          <w:szCs w:val="18"/>
        </w:rPr>
        <w:t xml:space="preserve">The </w:t>
      </w:r>
      <w:r>
        <w:rPr>
          <w:b w:val="false"/>
          <w:i w:val="false"/>
          <w:caps w:val="false"/>
          <w:smallCaps w:val="false"/>
          <w:spacing w:val="0"/>
          <w:sz w:val="18"/>
          <w:szCs w:val="18"/>
        </w:rPr>
        <w:t>Jouranl of Physical Chemistry Letters</w:t>
      </w:r>
      <w:r>
        <w:rPr>
          <w:b w:val="false"/>
          <w:i w:val="false"/>
          <w:caps w:val="false"/>
          <w:smallCaps w:val="false"/>
          <w:spacing w:val="0"/>
          <w:sz w:val="18"/>
          <w:szCs w:val="18"/>
        </w:rPr>
        <w:t xml:space="preserve"> </w:t>
      </w:r>
      <w:r>
        <w:rPr>
          <w:b w:val="false"/>
          <w:i w:val="false"/>
          <w:caps w:val="false"/>
          <w:smallCaps w:val="false"/>
          <w:spacing w:val="0"/>
          <w:sz w:val="18"/>
          <w:szCs w:val="18"/>
        </w:rPr>
        <w:t>4:2158-2165.</w:t>
      </w:r>
    </w:p>
    <w:p>
      <w:pPr>
        <w:pStyle w:val="Normal"/>
        <w:numPr>
          <w:ilvl w:val="0"/>
          <w:numId w:val="1"/>
        </w:numPr>
        <w:tabs>
          <w:tab w:val="left" w:pos="384" w:leader="none"/>
        </w:tabs>
        <w:spacing w:lineRule="exact" w:line="216" w:before="103" w:after="0"/>
        <w:ind w:left="383" w:right="138" w:hanging="283"/>
        <w:jc w:val="both"/>
        <w:rPr>
          <w:caps w:val="false"/>
          <w:smallCaps w:val="false"/>
          <w:spacing w:val="0"/>
        </w:rPr>
      </w:pPr>
      <w:r>
        <w:rPr>
          <w:b w:val="false"/>
          <w:i w:val="false"/>
          <w:caps w:val="false"/>
          <w:smallCaps w:val="false"/>
          <w:spacing w:val="0"/>
          <w:sz w:val="18"/>
          <w:szCs w:val="18"/>
        </w:rPr>
        <w:t xml:space="preserve">Novoselov K. S, Geim A. K, Morozov S. V, Jiang D, Zhang Y, Dubonos S. V, Grigorieva I. V, Firsov A. A </w:t>
      </w:r>
      <w:r>
        <w:rPr>
          <w:b w:val="false"/>
          <w:i w:val="false"/>
          <w:caps w:val="false"/>
          <w:smallCaps w:val="false"/>
          <w:spacing w:val="0"/>
          <w:sz w:val="18"/>
          <w:szCs w:val="18"/>
        </w:rPr>
        <w:t>(2004)</w:t>
      </w:r>
      <w:r>
        <w:rPr>
          <w:b w:val="false"/>
          <w:i w:val="false"/>
          <w:caps w:val="false"/>
          <w:smallCaps w:val="false"/>
          <w:spacing w:val="0"/>
          <w:sz w:val="18"/>
          <w:szCs w:val="18"/>
        </w:rPr>
        <w:t xml:space="preserve"> Electric Field Effect in Atomically Thin Carbon Films. Science 306 :666</w:t>
      </w:r>
      <w:r>
        <w:rPr>
          <w:caps w:val="false"/>
          <w:smallCaps w:val="false"/>
          <w:spacing w:val="0"/>
          <w:sz w:val="18"/>
          <w:szCs w:val="18"/>
        </w:rPr>
        <w:t>−</w:t>
      </w:r>
      <w:r>
        <w:rPr>
          <w:b w:val="false"/>
          <w:i w:val="false"/>
          <w:caps w:val="false"/>
          <w:smallCaps w:val="false"/>
          <w:spacing w:val="0"/>
          <w:sz w:val="18"/>
          <w:szCs w:val="18"/>
        </w:rPr>
        <w:t xml:space="preserve">669. </w:t>
      </w:r>
    </w:p>
    <w:p>
      <w:pPr>
        <w:pStyle w:val="Normal"/>
        <w:numPr>
          <w:ilvl w:val="0"/>
          <w:numId w:val="1"/>
        </w:numPr>
        <w:tabs>
          <w:tab w:val="left" w:pos="384" w:leader="none"/>
        </w:tabs>
        <w:spacing w:lineRule="exact" w:line="216" w:before="103" w:after="0"/>
        <w:ind w:left="383" w:right="138" w:hanging="283"/>
        <w:jc w:val="both"/>
        <w:rPr/>
      </w:pPr>
      <w:r>
        <w:rPr>
          <w:rFonts w:ascii="Tw Cen MT" w:hAnsi="Tw Cen MT"/>
          <w:b w:val="false"/>
          <w:i w:val="false"/>
          <w:caps w:val="false"/>
          <w:smallCaps w:val="false"/>
          <w:color w:val="000000"/>
          <w:spacing w:val="0"/>
          <w:sz w:val="18"/>
          <w:szCs w:val="18"/>
        </w:rPr>
        <w:t xml:space="preserve">Morozov </w:t>
      </w:r>
      <w:r>
        <w:rPr>
          <w:rFonts w:ascii="Tw Cen MT" w:hAnsi="Tw Cen MT"/>
          <w:b w:val="false"/>
          <w:i w:val="false"/>
          <w:caps w:val="false"/>
          <w:smallCaps w:val="false"/>
          <w:color w:val="000000"/>
          <w:spacing w:val="0"/>
          <w:sz w:val="18"/>
          <w:szCs w:val="18"/>
        </w:rPr>
        <w:t>S. V</w:t>
      </w:r>
      <w:r>
        <w:rPr>
          <w:rFonts w:ascii="Tw Cen MT" w:hAnsi="Tw Cen MT"/>
          <w:b w:val="false"/>
          <w:i w:val="false"/>
          <w:caps w:val="false"/>
          <w:smallCaps w:val="false"/>
          <w:color w:val="000000"/>
          <w:spacing w:val="0"/>
          <w:sz w:val="18"/>
          <w:szCs w:val="18"/>
        </w:rPr>
        <w:t xml:space="preserve">, Novoselov </w:t>
      </w:r>
      <w:r>
        <w:rPr>
          <w:rFonts w:ascii="Tw Cen MT" w:hAnsi="Tw Cen MT"/>
          <w:b w:val="false"/>
          <w:i w:val="false"/>
          <w:caps w:val="false"/>
          <w:smallCaps w:val="false"/>
          <w:color w:val="000000"/>
          <w:spacing w:val="0"/>
          <w:sz w:val="18"/>
          <w:szCs w:val="18"/>
        </w:rPr>
        <w:t>K. S</w:t>
      </w:r>
      <w:r>
        <w:rPr>
          <w:rFonts w:ascii="Tw Cen MT" w:hAnsi="Tw Cen MT"/>
          <w:b w:val="false"/>
          <w:i w:val="false"/>
          <w:caps w:val="false"/>
          <w:smallCaps w:val="false"/>
          <w:color w:val="000000"/>
          <w:spacing w:val="0"/>
          <w:sz w:val="18"/>
          <w:szCs w:val="18"/>
        </w:rPr>
        <w:t xml:space="preserve">, Katsnelson </w:t>
      </w:r>
      <w:r>
        <w:rPr>
          <w:rFonts w:ascii="Tw Cen MT" w:hAnsi="Tw Cen MT"/>
          <w:b w:val="false"/>
          <w:i w:val="false"/>
          <w:caps w:val="false"/>
          <w:smallCaps w:val="false"/>
          <w:color w:val="000000"/>
          <w:spacing w:val="0"/>
          <w:sz w:val="18"/>
          <w:szCs w:val="18"/>
        </w:rPr>
        <w:t>M. I</w:t>
      </w:r>
      <w:r>
        <w:rPr>
          <w:rFonts w:ascii="Tw Cen MT" w:hAnsi="Tw Cen MT"/>
          <w:b w:val="false"/>
          <w:i w:val="false"/>
          <w:caps w:val="false"/>
          <w:smallCaps w:val="false"/>
          <w:color w:val="000000"/>
          <w:spacing w:val="0"/>
          <w:sz w:val="18"/>
          <w:szCs w:val="18"/>
        </w:rPr>
        <w:t xml:space="preserve">, Schedin </w:t>
      </w:r>
      <w:r>
        <w:rPr>
          <w:rFonts w:ascii="Tw Cen MT" w:hAnsi="Tw Cen MT"/>
          <w:b w:val="false"/>
          <w:i w:val="false"/>
          <w:caps w:val="false"/>
          <w:smallCaps w:val="false"/>
          <w:color w:val="000000"/>
          <w:spacing w:val="0"/>
          <w:sz w:val="18"/>
          <w:szCs w:val="18"/>
        </w:rPr>
        <w:t>F</w:t>
      </w:r>
      <w:r>
        <w:rPr>
          <w:rFonts w:ascii="Tw Cen MT" w:hAnsi="Tw Cen MT"/>
          <w:b w:val="false"/>
          <w:i w:val="false"/>
          <w:caps w:val="false"/>
          <w:smallCaps w:val="false"/>
          <w:color w:val="000000"/>
          <w:spacing w:val="0"/>
          <w:sz w:val="18"/>
          <w:szCs w:val="18"/>
        </w:rPr>
        <w:t xml:space="preserve">, Elias </w:t>
      </w:r>
      <w:r>
        <w:rPr>
          <w:rFonts w:ascii="Tw Cen MT" w:hAnsi="Tw Cen MT"/>
          <w:b w:val="false"/>
          <w:i w:val="false"/>
          <w:caps w:val="false"/>
          <w:smallCaps w:val="false"/>
          <w:color w:val="000000"/>
          <w:spacing w:val="0"/>
          <w:sz w:val="18"/>
          <w:szCs w:val="18"/>
        </w:rPr>
        <w:t>D. C</w:t>
      </w:r>
      <w:r>
        <w:rPr>
          <w:rFonts w:ascii="Tw Cen MT" w:hAnsi="Tw Cen MT"/>
          <w:b w:val="false"/>
          <w:i w:val="false"/>
          <w:caps w:val="false"/>
          <w:smallCaps w:val="false"/>
          <w:color w:val="000000"/>
          <w:spacing w:val="0"/>
          <w:sz w:val="18"/>
          <w:szCs w:val="18"/>
        </w:rPr>
        <w:t xml:space="preserve">, Jaszczak </w:t>
      </w:r>
      <w:r>
        <w:rPr>
          <w:rFonts w:ascii="Tw Cen MT" w:hAnsi="Tw Cen MT"/>
          <w:b w:val="false"/>
          <w:i w:val="false"/>
          <w:caps w:val="false"/>
          <w:smallCaps w:val="false"/>
          <w:color w:val="000000"/>
          <w:spacing w:val="0"/>
          <w:sz w:val="18"/>
          <w:szCs w:val="18"/>
        </w:rPr>
        <w:t>J. A</w:t>
      </w:r>
      <w:r>
        <w:rPr>
          <w:rFonts w:ascii="Tw Cen MT" w:hAnsi="Tw Cen MT"/>
          <w:b w:val="false"/>
          <w:i w:val="false"/>
          <w:caps w:val="false"/>
          <w:smallCaps w:val="false"/>
          <w:color w:val="000000"/>
          <w:spacing w:val="0"/>
          <w:sz w:val="18"/>
          <w:szCs w:val="18"/>
        </w:rPr>
        <w:t xml:space="preserve">, Geim </w:t>
      </w:r>
      <w:r>
        <w:rPr>
          <w:rFonts w:ascii="Tw Cen MT" w:hAnsi="Tw Cen MT"/>
          <w:b w:val="false"/>
          <w:i w:val="false"/>
          <w:caps w:val="false"/>
          <w:smallCaps w:val="false"/>
          <w:color w:val="000000"/>
          <w:spacing w:val="0"/>
          <w:sz w:val="18"/>
          <w:szCs w:val="18"/>
        </w:rPr>
        <w:t xml:space="preserve">A. K (2008) Giant Intrinsic Carrier Mobilities in Graphene and Its Bilayer. </w:t>
      </w:r>
      <w:r>
        <w:rPr>
          <w:rFonts w:ascii="Tw Cen MT" w:hAnsi="Tw Cen MT"/>
          <w:b w:val="false"/>
          <w:i w:val="false"/>
          <w:caps w:val="false"/>
          <w:smallCaps w:val="false"/>
          <w:color w:val="000000"/>
          <w:spacing w:val="0"/>
          <w:sz w:val="18"/>
          <w:szCs w:val="18"/>
        </w:rPr>
        <w:t>Phys</w:t>
      </w:r>
      <w:r>
        <w:rPr>
          <w:rFonts w:ascii="Tw Cen MT" w:hAnsi="Tw Cen MT"/>
          <w:b w:val="false"/>
          <w:i w:val="false"/>
          <w:caps w:val="false"/>
          <w:smallCaps w:val="false"/>
          <w:color w:val="000000"/>
          <w:spacing w:val="0"/>
          <w:sz w:val="18"/>
          <w:szCs w:val="18"/>
        </w:rPr>
        <w:t>ical</w:t>
      </w:r>
      <w:r>
        <w:rPr>
          <w:rFonts w:ascii="Tw Cen MT" w:hAnsi="Tw Cen MT"/>
          <w:b w:val="false"/>
          <w:i w:val="false"/>
          <w:caps w:val="false"/>
          <w:smallCaps w:val="false"/>
          <w:color w:val="000000"/>
          <w:spacing w:val="0"/>
          <w:sz w:val="18"/>
          <w:szCs w:val="18"/>
        </w:rPr>
        <w:t xml:space="preserve"> Rev</w:t>
      </w:r>
      <w:r>
        <w:rPr>
          <w:rFonts w:ascii="Tw Cen MT" w:hAnsi="Tw Cen MT"/>
          <w:b w:val="false"/>
          <w:i w:val="false"/>
          <w:caps w:val="false"/>
          <w:smallCaps w:val="false"/>
          <w:color w:val="000000"/>
          <w:spacing w:val="0"/>
          <w:sz w:val="18"/>
          <w:szCs w:val="18"/>
        </w:rPr>
        <w:t>iew</w:t>
      </w:r>
      <w:r>
        <w:rPr>
          <w:rFonts w:ascii="Tw Cen MT" w:hAnsi="Tw Cen MT"/>
          <w:b w:val="false"/>
          <w:i w:val="false"/>
          <w:caps w:val="false"/>
          <w:smallCaps w:val="false"/>
          <w:color w:val="000000"/>
          <w:spacing w:val="0"/>
          <w:sz w:val="18"/>
          <w:szCs w:val="18"/>
        </w:rPr>
        <w:t xml:space="preserve"> Lett</w:t>
      </w:r>
      <w:r>
        <w:rPr>
          <w:rFonts w:ascii="Tw Cen MT" w:hAnsi="Tw Cen MT"/>
          <w:b w:val="false"/>
          <w:i w:val="false"/>
          <w:caps w:val="false"/>
          <w:smallCaps w:val="false"/>
          <w:color w:val="000000"/>
          <w:spacing w:val="0"/>
          <w:sz w:val="18"/>
          <w:szCs w:val="18"/>
        </w:rPr>
        <w:t>ers</w:t>
      </w:r>
      <w:r>
        <w:rPr>
          <w:rFonts w:ascii="Tw Cen MT" w:hAnsi="Tw Cen MT"/>
          <w:b w:val="false"/>
          <w:i w:val="false"/>
          <w:caps w:val="false"/>
          <w:smallCaps w:val="false"/>
          <w:color w:val="000000"/>
          <w:spacing w:val="0"/>
          <w:sz w:val="18"/>
          <w:szCs w:val="18"/>
        </w:rPr>
        <w:t xml:space="preserve"> </w:t>
      </w:r>
      <w:r>
        <w:rPr>
          <w:rFonts w:ascii="Tw Cen MT" w:hAnsi="Tw Cen MT"/>
          <w:b w:val="false"/>
          <w:i w:val="false"/>
          <w:caps w:val="false"/>
          <w:smallCaps w:val="false"/>
          <w:color w:val="000000"/>
          <w:spacing w:val="0"/>
          <w:sz w:val="18"/>
          <w:szCs w:val="18"/>
        </w:rPr>
        <w:t>100:</w:t>
      </w:r>
      <w:r>
        <w:rPr>
          <w:rFonts w:ascii="Tw Cen MT" w:hAnsi="Tw Cen MT"/>
          <w:b w:val="false"/>
          <w:i w:val="false"/>
          <w:caps w:val="false"/>
          <w:smallCaps w:val="false"/>
          <w:color w:val="000000"/>
          <w:spacing w:val="0"/>
          <w:sz w:val="18"/>
          <w:szCs w:val="18"/>
        </w:rPr>
        <w:t xml:space="preserve">016602. </w:t>
      </w:r>
    </w:p>
    <w:p>
      <w:pPr>
        <w:pStyle w:val="Normal"/>
        <w:numPr>
          <w:ilvl w:val="0"/>
          <w:numId w:val="1"/>
        </w:numPr>
        <w:tabs>
          <w:tab w:val="left" w:pos="384" w:leader="none"/>
        </w:tabs>
        <w:spacing w:lineRule="exact" w:line="216" w:before="103" w:after="0"/>
        <w:ind w:left="383" w:right="138" w:hanging="283"/>
        <w:jc w:val="both"/>
        <w:rPr/>
      </w:pPr>
      <w:r>
        <w:rPr>
          <w:rFonts w:ascii="Tw Cen MT" w:hAnsi="Tw Cen MT"/>
          <w:b w:val="false"/>
          <w:i w:val="false"/>
          <w:caps w:val="false"/>
          <w:smallCaps w:val="false"/>
          <w:color w:val="000000"/>
          <w:spacing w:val="0"/>
          <w:sz w:val="18"/>
          <w:szCs w:val="18"/>
        </w:rPr>
        <w:t xml:space="preserve">Haldar S, Spiwok V, Hobza P (2013) </w:t>
      </w:r>
      <w:r>
        <w:rPr>
          <w:rFonts w:ascii="Tw Cen MT" w:hAnsi="Tw Cen MT"/>
          <w:b w:val="false"/>
          <w:i w:val="false"/>
          <w:caps w:val="false"/>
          <w:smallCaps w:val="false"/>
          <w:color w:val="000000"/>
          <w:spacing w:val="0"/>
          <w:sz w:val="18"/>
          <w:szCs w:val="18"/>
        </w:rPr>
        <w:t>On the Association of the Base Pairs on the Silica Surface Based on Free Energy Biased Molecular Dynamics Simulation and Quantum Mechanical Calculations. The Journal of Physical Chemistry C 117:11066–11075.</w:t>
      </w:r>
    </w:p>
    <w:p>
      <w:pPr>
        <w:pStyle w:val="Normal"/>
        <w:numPr>
          <w:ilvl w:val="0"/>
          <w:numId w:val="1"/>
        </w:numPr>
        <w:tabs>
          <w:tab w:val="left" w:pos="384" w:leader="none"/>
        </w:tabs>
        <w:spacing w:lineRule="exact" w:line="216" w:before="103" w:after="0"/>
        <w:jc w:val="both"/>
        <w:rPr/>
      </w:pPr>
      <w:r>
        <w:rPr>
          <w:rFonts w:ascii="Tw Cen MT" w:hAnsi="Tw Cen MT"/>
          <w:b w:val="false"/>
          <w:i w:val="false"/>
          <w:caps w:val="false"/>
          <w:smallCaps w:val="false"/>
          <w:color w:val="111111"/>
          <w:spacing w:val="0"/>
          <w:sz w:val="18"/>
          <w:szCs w:val="18"/>
        </w:rPr>
        <w:t xml:space="preserve">Haldar S, </w:t>
      </w:r>
      <w:hyperlink r:id="rId4">
        <w:r>
          <w:rPr>
            <w:rStyle w:val="InternetLink"/>
            <w:rFonts w:ascii="Tw Cen MT" w:hAnsi="Tw Cen MT"/>
            <w:b w:val="false"/>
            <w:i w:val="false"/>
            <w:caps w:val="false"/>
            <w:smallCaps w:val="false"/>
            <w:strike w:val="false"/>
            <w:dstrike w:val="false"/>
            <w:color w:val="000000"/>
            <w:spacing w:val="0"/>
            <w:sz w:val="18"/>
            <w:szCs w:val="18"/>
            <w:u w:val="none"/>
            <w:effect w:val="none"/>
          </w:rPr>
          <w:t>Kolář</w:t>
        </w:r>
      </w:hyperlink>
      <w:r>
        <w:rPr>
          <w:rFonts w:ascii="Tw Cen MT" w:hAnsi="Tw Cen MT"/>
          <w:b w:val="false"/>
          <w:i w:val="false"/>
          <w:caps w:val="false"/>
          <w:smallCaps w:val="false"/>
          <w:strike w:val="false"/>
          <w:dstrike w:val="false"/>
          <w:color w:val="111111"/>
          <w:spacing w:val="0"/>
          <w:sz w:val="18"/>
          <w:szCs w:val="18"/>
          <w:u w:val="none"/>
          <w:effect w:val="none"/>
        </w:rPr>
        <w:t xml:space="preserve"> M. H, Sedlak R, Hobza P (2012) </w:t>
      </w:r>
      <w:r>
        <w:rPr>
          <w:rFonts w:ascii="Tw Cen MT" w:hAnsi="Tw Cen MT"/>
          <w:b w:val="false"/>
          <w:i w:val="false"/>
          <w:caps w:val="false"/>
          <w:smallCaps w:val="false"/>
          <w:color w:val="111111"/>
          <w:spacing w:val="0"/>
          <w:sz w:val="18"/>
          <w:szCs w:val="18"/>
        </w:rPr>
        <w:t xml:space="preserve">Adsorption of Organic Electron Acceptors on Graphene-like Molecules: Quantum Chemical and Molecular Mechanical Study. </w:t>
      </w:r>
      <w:r>
        <w:rPr>
          <w:rFonts w:ascii="Tw Cen MT" w:hAnsi="Tw Cen MT"/>
          <w:b w:val="false"/>
          <w:i w:val="false"/>
          <w:caps w:val="false"/>
          <w:smallCaps w:val="false"/>
          <w:color w:val="000000"/>
          <w:spacing w:val="0"/>
          <w:sz w:val="18"/>
          <w:szCs w:val="18"/>
        </w:rPr>
        <w:t>The Journal of Physical Chemistry C 116:25328-</w:t>
      </w:r>
      <w:r>
        <w:rPr>
          <w:rFonts w:ascii="Tw Cen MT" w:hAnsi="Tw Cen MT"/>
          <w:b w:val="false"/>
          <w:i w:val="false"/>
          <w:caps w:val="false"/>
          <w:smallCaps w:val="false"/>
          <w:color w:val="000000"/>
          <w:spacing w:val="0"/>
          <w:sz w:val="18"/>
          <w:szCs w:val="18"/>
        </w:rPr>
        <w:t>25336</w:t>
      </w:r>
      <w:r>
        <w:rPr>
          <w:rFonts w:ascii="Tw Cen MT" w:hAnsi="Tw Cen MT"/>
          <w:b w:val="false"/>
          <w:i w:val="false"/>
          <w:caps w:val="false"/>
          <w:smallCaps w:val="false"/>
          <w:color w:val="000000"/>
          <w:spacing w:val="0"/>
          <w:sz w:val="18"/>
          <w:szCs w:val="18"/>
        </w:rPr>
        <w:t>.</w:t>
      </w:r>
    </w:p>
    <w:p>
      <w:pPr>
        <w:pStyle w:val="Normal"/>
        <w:numPr>
          <w:ilvl w:val="0"/>
          <w:numId w:val="1"/>
        </w:numPr>
        <w:tabs>
          <w:tab w:val="left" w:pos="384" w:leader="none"/>
        </w:tabs>
        <w:spacing w:lineRule="exact" w:line="216" w:before="103" w:after="0"/>
        <w:jc w:val="both"/>
        <w:rPr/>
      </w:pPr>
      <w:r>
        <w:rPr>
          <w:rFonts w:ascii="Tw Cen MT" w:hAnsi="Tw Cen MT"/>
          <w:b w:val="false"/>
          <w:i w:val="false"/>
          <w:caps w:val="false"/>
          <w:smallCaps w:val="false"/>
          <w:color w:val="000000"/>
          <w:spacing w:val="0"/>
          <w:sz w:val="18"/>
          <w:szCs w:val="18"/>
        </w:rPr>
        <w:t xml:space="preserve">Miriyala V. M, Lo R, Haldar S, Sarmah A, Hobza P (2018) Non-covalently functionalized novel three layered stable tower complexes of graphene and small donor-acceptor molecules. Manuscript under preparation. </w:t>
      </w:r>
    </w:p>
    <w:p>
      <w:pPr>
        <w:sectPr>
          <w:type w:val="continuous"/>
          <w:pgSz w:w="11906" w:h="16838"/>
          <w:pgMar w:left="620" w:right="600" w:header="541" w:top="1740" w:footer="642" w:bottom="840" w:gutter="0"/>
          <w:cols w:num="2" w:equalWidth="false" w:sep="false">
            <w:col w:w="5211" w:space="138"/>
            <w:col w:w="5336"/>
          </w:cols>
          <w:formProt w:val="false"/>
          <w:textDirection w:val="lrTb"/>
          <w:docGrid w:type="default" w:linePitch="600" w:charSpace="4294965247"/>
        </w:sectPr>
      </w:pPr>
    </w:p>
    <w:p>
      <w:pPr>
        <w:pStyle w:val="Heading3"/>
        <w:spacing w:before="147" w:after="0"/>
        <w:ind w:left="100" w:hanging="0"/>
        <w:jc w:val="both"/>
        <w:rPr>
          <w:color w:val="BF5A14"/>
        </w:rPr>
      </w:pPr>
      <w:r>
        <w:rPr/>
      </w:r>
    </w:p>
    <w:p>
      <w:pPr>
        <w:pStyle w:val="Heading3"/>
        <w:spacing w:before="147" w:after="0"/>
        <w:ind w:left="100" w:hanging="0"/>
        <w:jc w:val="both"/>
        <w:rPr/>
      </w:pPr>
      <w:r>
        <w:rPr>
          <w:color w:val="BF5A14"/>
        </w:rPr>
        <w:t>Keywords:</w:t>
      </w:r>
    </w:p>
    <w:p>
      <w:pPr>
        <w:pStyle w:val="TextBody"/>
        <w:rPr/>
      </w:pPr>
      <w:r>
        <w:rPr>
          <w:rFonts w:ascii="Calibri" w:hAnsi="Calibri"/>
          <w:sz w:val="20"/>
        </w:rPr>
        <w:t xml:space="preserve">Graphene, Non-covalent interactions, Functionalization, charge-transfer, </w:t>
      </w:r>
      <w:r>
        <w:rPr>
          <w:rFonts w:ascii="Calibri" w:hAnsi="Calibri"/>
          <w:sz w:val="20"/>
        </w:rPr>
        <w:t>donor-acceptor complex.</w:t>
      </w:r>
    </w:p>
    <w:p>
      <w:pPr>
        <w:pStyle w:val="TextBody"/>
        <w:spacing w:lineRule="exact" w:line="40"/>
        <w:ind w:left="2202" w:hanging="0"/>
        <w:rPr>
          <w:rFonts w:ascii="Calibri" w:hAnsi="Calibri"/>
          <w:sz w:val="4"/>
        </w:rPr>
      </w:pPr>
      <w:r>
        <w:rPr/>
        <mc:AlternateContent>
          <mc:Choice Requires="wpg">
            <w:drawing>
              <wp:inline distT="0" distB="0" distL="0" distR="0">
                <wp:extent cx="3977005" cy="1270"/>
                <wp:effectExtent l="0" t="0" r="0" b="0"/>
                <wp:docPr id="11" name=""/>
                <a:graphic xmlns:a="http://schemas.openxmlformats.org/drawingml/2006/main">
                  <a:graphicData uri="http://schemas.microsoft.com/office/word/2010/wordprocessingGroup">
                    <wpg:wgp>
                      <wpg:cNvGrpSpPr/>
                      <wpg:grpSpPr>
                        <a:xfrm rot="600">
                          <a:off x="0" y="0"/>
                          <a:ext cx="3976200" cy="720"/>
                        </a:xfrm>
                      </wpg:grpSpPr>
                      <wps:wsp>
                        <wps:cNvSpPr/>
                        <wps:spPr>
                          <a:xfrm>
                            <a:off x="0" y="0"/>
                            <a:ext cx="3976200" cy="72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pt;margin-top:0pt;width:313.05pt;height:0pt" coordorigin="0,0" coordsize="6261,0">
                <v:line id="shape_0" from="0,0" to="6261,0" stroked="t" style="position:absolute">
                  <v:stroke color="#004080" weight="25560" joinstyle="round" endcap="flat"/>
                  <v:fill o:detectmouseclick="t" on="false"/>
                </v:line>
              </v:group>
            </w:pict>
          </mc:Fallback>
        </mc:AlternateContent>
      </w:r>
    </w:p>
    <w:p>
      <w:pPr>
        <w:pStyle w:val="Normal"/>
        <w:spacing w:before="92" w:after="0"/>
        <w:ind w:right="4234" w:hanging="0"/>
        <w:rPr/>
      </w:pPr>
      <w:r>
        <w:rPr/>
        <w:t xml:space="preserve">       </w:t>
      </w:r>
    </w:p>
    <w:p>
      <w:pPr>
        <w:pStyle w:val="Normal"/>
        <w:spacing w:before="92" w:after="0"/>
        <w:ind w:right="4234" w:hanging="0"/>
        <w:rPr/>
      </w:pPr>
      <w:r>
        <w:rPr/>
        <w:t xml:space="preserve">     </w:t>
      </w:r>
    </w:p>
    <w:p>
      <w:pPr>
        <w:pStyle w:val="Normal"/>
        <w:spacing w:before="92" w:after="0"/>
        <w:ind w:right="4234" w:hanging="0"/>
        <w:rPr/>
      </w:pPr>
      <w:r>
        <w:rPr/>
        <w:t xml:space="preserve">  </w:t>
      </w:r>
      <w:r>
        <w:rPr/>
        <w:drawing>
          <wp:inline distT="0" distB="0" distL="0" distR="0">
            <wp:extent cx="628015" cy="622935"/>
            <wp:effectExtent l="0" t="0" r="0" b="0"/>
            <wp:docPr id="12"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descr="dummy"/>
                    <pic:cNvPicPr>
                      <a:picLocks noChangeAspect="1" noChangeArrowheads="1"/>
                    </pic:cNvPicPr>
                  </pic:nvPicPr>
                  <pic:blipFill>
                    <a:blip r:embed="rId5"/>
                    <a:stretch>
                      <a:fillRect/>
                    </a:stretch>
                  </pic:blipFill>
                  <pic:spPr bwMode="auto">
                    <a:xfrm>
                      <a:off x="0" y="0"/>
                      <a:ext cx="628015" cy="622935"/>
                    </a:xfrm>
                    <a:prstGeom prst="rect">
                      <a:avLst/>
                    </a:prstGeom>
                  </pic:spPr>
                </pic:pic>
              </a:graphicData>
            </a:graphic>
          </wp:inline>
        </w:drawing>
      </w:r>
    </w:p>
    <w:p>
      <w:pPr>
        <w:pStyle w:val="Normal"/>
        <w:spacing w:before="92" w:after="0"/>
        <w:ind w:right="4234" w:hanging="0"/>
        <w:rPr/>
      </w:pPr>
      <w:r>
        <w:rPr>
          <w:rFonts w:ascii="Arial" w:hAnsi="Arial"/>
          <w:color w:val="BF5A14"/>
        </w:rPr>
        <w:t xml:space="preserve">Biography </w:t>
      </w:r>
    </w:p>
    <w:p>
      <w:pPr>
        <w:pStyle w:val="Normal"/>
        <w:spacing w:lineRule="exact" w:line="154" w:before="41" w:after="0"/>
        <w:ind w:left="213" w:right="231" w:hanging="0"/>
        <w:jc w:val="both"/>
        <w:rPr/>
      </w:pPr>
      <w:r>
        <w:rPr>
          <w:rFonts w:ascii="Arial" w:hAnsi="Arial"/>
          <w:b w:val="false"/>
          <w:i w:val="false"/>
          <w:caps w:val="false"/>
          <w:smallCaps w:val="false"/>
          <w:spacing w:val="0"/>
          <w:sz w:val="14"/>
        </w:rPr>
        <w:t>Dr. Vijay Miriyala received his PhD in Theoretical and Computational Chemistry from the Indian Institute of Technology, Kanpur in July 2013. From June 2012 to February 2014 he worked as a Postdoctoral researcher at the Center for Superfunctional Materials, Pohang University of Science and Technology (POSTECH), South Korea with Prof. Kwang. S. Kim . From April 2014 to December 2015 he worked as Postdoctoral Researcher at the Department of Chemistry, University of Johannesburg, South Africa. Since January 2016 he has been working at the Institute for organic and biochemistry, Czech Academy of Sciences, Prague with Prof. Pavel Hobza.  His previous projects involve research on Vibrational Spectroscopy, Force fields and Compliance constants during his PhD and study of interactions between biomolecules and organic supramolecules used to sense them via excimer formations (π-π, H- π stacking interactions) during his postdoctoral studies. Currently his research involves developing advanced corrections and parameters for semiempirical methods such as DFTB and PM6 and studies on non-covalent interactions.</w:t>
      </w:r>
    </w:p>
    <w:p>
      <w:pPr>
        <w:pStyle w:val="Normal"/>
        <w:spacing w:lineRule="exact" w:line="154" w:before="41" w:after="0"/>
        <w:ind w:left="213" w:right="231" w:hanging="0"/>
        <w:jc w:val="both"/>
        <w:rPr/>
      </w:pPr>
      <w:r>
        <w:rPr>
          <w:rFonts w:ascii="Arial" w:hAnsi="Arial"/>
          <w:sz w:val="14"/>
        </w:rPr>
        <w:t xml:space="preserve">Email: </w:t>
      </w:r>
      <w:r>
        <w:rPr>
          <w:rFonts w:ascii="Arial" w:hAnsi="Arial"/>
          <w:sz w:val="14"/>
          <w:u w:val="single"/>
        </w:rPr>
        <w:t>vijay.miriyala@uochb.cas.cz</w:t>
      </w:r>
    </w:p>
    <w:p>
      <w:pPr>
        <w:pStyle w:val="TextBody"/>
        <w:spacing w:before="2" w:after="0"/>
        <w:rPr>
          <w:rFonts w:ascii="Arial" w:hAnsi="Arial"/>
          <w:sz w:val="19"/>
        </w:rPr>
      </w:pPr>
      <w:r>
        <w:rPr>
          <w:rFonts w:ascii="Arial" w:hAnsi="Arial"/>
          <w:sz w:val="19"/>
        </w:rPr>
        <mc:AlternateContent>
          <mc:Choice Requires="wps">
            <w:drawing>
              <wp:anchor behindDoc="0" distT="0" distB="0" distL="0" distR="0" simplePos="0" locked="0" layoutInCell="1" allowOverlap="1" relativeHeight="2">
                <wp:simplePos x="0" y="0"/>
                <wp:positionH relativeFrom="page">
                  <wp:posOffset>2058670</wp:posOffset>
                </wp:positionH>
                <wp:positionV relativeFrom="paragraph">
                  <wp:posOffset>168910</wp:posOffset>
                </wp:positionV>
                <wp:extent cx="3443605" cy="1905"/>
                <wp:effectExtent l="10795" t="6985" r="13970" b="12065"/>
                <wp:wrapTopAndBottom/>
                <wp:docPr id="13" name="Line 3"/>
                <a:graphic xmlns:a="http://schemas.openxmlformats.org/drawingml/2006/main">
                  <a:graphicData uri="http://schemas.microsoft.com/office/word/2010/wordprocessingShape">
                    <wps:wsp>
                      <wps:cNvSpPr/>
                      <wps:spPr>
                        <a:xfrm>
                          <a:off x="0" y="0"/>
                          <a:ext cx="3443040" cy="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3pt" to="433.15pt,13.3pt" ID="Line 3" stroked="t" style="position:absolute;mso-position-horizontal-relative:page">
                <v:stroke color="#004080" weight="6480" joinstyle="round" endcap="flat"/>
                <v:fill o:detectmouseclick="t" on="false"/>
              </v:line>
            </w:pict>
          </mc:Fallback>
        </mc:AlternateContent>
      </w:r>
    </w:p>
    <w:p>
      <w:pPr>
        <w:pStyle w:val="TextBody"/>
        <w:rPr>
          <w:rFonts w:ascii="Arial" w:hAnsi="Arial"/>
          <w:sz w:val="20"/>
        </w:rPr>
      </w:pPr>
      <w:r>
        <w:rPr>
          <w:rFonts w:ascii="Arial" w:hAnsi="Arial"/>
          <w:sz w:val="20"/>
        </w:rPr>
      </w:r>
    </w:p>
    <w:p>
      <w:pPr>
        <w:sectPr>
          <w:type w:val="continuous"/>
          <w:pgSz w:w="11906" w:h="16838"/>
          <w:pgMar w:left="620" w:right="600" w:header="541" w:top="1740" w:footer="642" w:bottom="840" w:gutter="0"/>
          <w:formProt w:val="false"/>
          <w:textDirection w:val="lrTb"/>
          <w:docGrid w:type="default" w:linePitch="600" w:charSpace="4294965247"/>
        </w:sectPr>
      </w:pPr>
    </w:p>
    <w:p>
      <w:pPr>
        <w:pStyle w:val="TextBody"/>
        <w:spacing w:before="3" w:after="0"/>
        <w:rPr>
          <w:rFonts w:ascii="Arial" w:hAnsi="Arial" w:cs="Arial"/>
          <w:b/>
          <w:b/>
          <w:sz w:val="16"/>
          <w:szCs w:val="16"/>
        </w:rPr>
      </w:pPr>
      <w:r>
        <w:rPr>
          <w:rFonts w:cs="Arial" w:ascii="Arial" w:hAnsi="Arial"/>
          <w:b/>
          <w:sz w:val="16"/>
          <w:szCs w:val="16"/>
        </w:rPr>
        <w:t xml:space="preserve">Presenting author details </w:t>
      </w:r>
    </w:p>
    <w:p>
      <w:pPr>
        <w:pStyle w:val="TextBody"/>
        <w:spacing w:before="3" w:after="0"/>
        <w:rPr/>
      </w:pPr>
      <w:r>
        <w:rPr>
          <w:rFonts w:cs="Arial" w:ascii="Arial" w:hAnsi="Arial"/>
          <w:sz w:val="16"/>
          <w:szCs w:val="16"/>
        </w:rPr>
        <w:t>Full name: Vijay Madhav Miriyala</w:t>
      </w:r>
    </w:p>
    <w:p>
      <w:pPr>
        <w:pStyle w:val="TextBody"/>
        <w:spacing w:before="3" w:after="0"/>
        <w:rPr/>
      </w:pPr>
      <w:r>
        <w:rPr>
          <w:rFonts w:cs="Arial" w:ascii="Arial" w:hAnsi="Arial"/>
          <w:sz w:val="16"/>
          <w:szCs w:val="16"/>
        </w:rPr>
        <w:t xml:space="preserve">Contact number: +420-778026581 </w:t>
      </w:r>
    </w:p>
    <w:p>
      <w:pPr>
        <w:pStyle w:val="TextBody"/>
        <w:spacing w:before="3" w:after="0"/>
        <w:rPr/>
      </w:pPr>
      <w:r>
        <w:rPr>
          <w:rFonts w:cs="Arial" w:ascii="Arial" w:hAnsi="Arial"/>
          <w:sz w:val="16"/>
          <w:szCs w:val="16"/>
        </w:rPr>
        <w:t>Linked In account: https://www.linkedin.com/in/dr-vijay-miriyala-49b4a426/</w:t>
      </w:r>
    </w:p>
    <w:p>
      <w:pPr>
        <w:pStyle w:val="TextBody"/>
        <w:spacing w:before="3" w:after="0"/>
        <w:rPr/>
      </w:pPr>
      <w:r>
        <w:rPr>
          <w:rFonts w:cs="Arial" w:ascii="Arial" w:hAnsi="Arial"/>
          <w:sz w:val="16"/>
          <w:szCs w:val="16"/>
        </w:rPr>
        <w:t>Twitter account: https://twitter.com/mvmadhav</w:t>
      </w:r>
    </w:p>
    <w:p>
      <w:pPr>
        <w:pStyle w:val="TextBody"/>
        <w:spacing w:before="3" w:after="0"/>
        <w:rPr/>
      </w:pPr>
      <w:r>
        <w:rPr>
          <w:rFonts w:cs="Arial" w:ascii="Arial" w:hAnsi="Arial"/>
          <w:sz w:val="16"/>
          <w:szCs w:val="16"/>
        </w:rPr>
        <w:t xml:space="preserve">Session name/ number: </w:t>
      </w:r>
    </w:p>
    <w:p>
      <w:pPr>
        <w:pStyle w:val="TextBody"/>
        <w:spacing w:before="3" w:after="0"/>
        <w:rPr/>
      </w:pPr>
      <w:r>
        <w:rPr>
          <w:rFonts w:cs="Arial" w:ascii="Arial" w:hAnsi="Arial"/>
          <w:sz w:val="16"/>
          <w:szCs w:val="16"/>
        </w:rPr>
        <w:t>Category: Poster Presentation</w:t>
      </w:r>
    </w:p>
    <w:p>
      <w:pPr>
        <w:pStyle w:val="Normal"/>
        <w:spacing w:before="39" w:after="0"/>
        <w:rPr>
          <w:rFonts w:ascii="Minion Pro" w:hAnsi="Minion Pro"/>
          <w:b/>
          <w:b/>
          <w:sz w:val="20"/>
        </w:rPr>
      </w:pPr>
      <w:r>
        <w:rPr>
          <w:rFonts w:ascii="Minion Pro" w:hAnsi="Minion Pro"/>
          <w:b/>
          <w:sz w:val="20"/>
        </w:rPr>
        <w:t>Speaker Suggestions:</w:t>
      </w:r>
    </w:p>
    <w:p>
      <w:pPr>
        <w:pStyle w:val="Normal"/>
        <w:spacing w:before="39" w:after="0"/>
        <w:rPr/>
      </w:pPr>
      <w:r>
        <w:rPr>
          <w:rFonts w:ascii="Minion Pro" w:hAnsi="Minion Pro"/>
          <w:b/>
          <w:sz w:val="20"/>
        </w:rPr>
        <w:t xml:space="preserve">Notes/Comments: </w:t>
      </w:r>
    </w:p>
    <w:sectPr>
      <w:type w:val="continuous"/>
      <w:pgSz w:w="11906" w:h="16838"/>
      <w:pgMar w:left="620" w:right="600" w:header="541" w:top="1740" w:footer="642" w:bottom="840" w:gutter="0"/>
      <w:cols w:num="2" w:equalWidth="false" w:sep="false">
        <w:col w:w="5202" w:space="138"/>
        <w:col w:w="5345"/>
      </w:cols>
      <w:formProt w:val="false"/>
      <w:textDirection w:val="lrTb"/>
      <w:docGrid w:type="default" w:linePitch="60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OpenSymbol">
    <w:altName w:val="Arial Unicode MS"/>
    <w:charset w:val="02"/>
    <w:family w:val="auto"/>
    <w:pitch w:val="default"/>
  </w:font>
  <w:font w:name="Liberation Sans">
    <w:altName w:val="Arial"/>
    <w:charset w:val="01"/>
    <w:family w:val="roman"/>
    <w:pitch w:val="variable"/>
  </w:font>
  <w:font w:name="Times New Roman">
    <w:charset w:val="01"/>
    <w:family w:val="roman"/>
    <w:pitch w:val="variable"/>
  </w:font>
  <w:font w:name="Impact">
    <w:charset w:val="01"/>
    <w:family w:val="roman"/>
    <w:pitch w:val="variable"/>
  </w:font>
  <w:font w:name="Tw Cen MT">
    <w:charset w:val="01"/>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9"/>
      <w:rPr>
        <w:sz w:val="20"/>
      </w:rPr>
    </w:pPr>
    <w:r>
      <w:rPr>
        <w:sz w:val="20"/>
      </w:rPr>
      <mc:AlternateContent>
        <mc:Choice Requires="wps">
          <w:drawing>
            <wp:anchor behindDoc="1" distT="0" distB="0" distL="114300" distR="114300" simplePos="0" locked="0" layoutInCell="1" allowOverlap="1" relativeHeight="8">
              <wp:simplePos x="0" y="0"/>
              <wp:positionH relativeFrom="page">
                <wp:posOffset>444500</wp:posOffset>
              </wp:positionH>
              <wp:positionV relativeFrom="page">
                <wp:posOffset>10144760</wp:posOffset>
              </wp:positionV>
              <wp:extent cx="2137410" cy="250190"/>
              <wp:effectExtent l="0" t="635" r="635" b="0"/>
              <wp:wrapNone/>
              <wp:docPr id="5" name="Text Box 3"/>
              <a:graphic xmlns:a="http://schemas.openxmlformats.org/drawingml/2006/main">
                <a:graphicData uri="http://schemas.microsoft.com/office/word/2010/wordprocessingShape">
                  <wps:wsp>
                    <wps:cNvSpPr/>
                    <wps:spPr>
                      <a:xfrm>
                        <a:off x="0" y="0"/>
                        <a:ext cx="2136600" cy="249480"/>
                      </a:xfrm>
                      <a:prstGeom prst="rect">
                        <a:avLst/>
                      </a:prstGeom>
                      <a:noFill/>
                      <a:ln>
                        <a:noFill/>
                      </a:ln>
                    </wps:spPr>
                    <wps:style>
                      <a:lnRef idx="0"/>
                      <a:fillRef idx="0"/>
                      <a:effectRef idx="0"/>
                      <a:fontRef idx="minor"/>
                    </wps:style>
                    <wps:txb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2pt;height:19.6pt;mso-position-horizontal-relative:page;mso-position-vertical-relative:page">
              <w10:wrap type="square"/>
              <v:fill o:detectmouseclick="t" on="false"/>
              <v:stroke color="#3465a4" joinstyle="round" endcap="flat"/>
              <v:textbox>
                <w:txbxContent>
                  <w:p>
                    <w:pPr>
                      <w:pStyle w:val="FrameContents"/>
                      <w:spacing w:lineRule="exact" w:line="184"/>
                      <w:ind w:left="20" w:right="-12" w:hanging="0"/>
                      <w:rPr>
                        <w:rFonts w:ascii="Arial" w:hAnsi="Arial"/>
                        <w:color w:val="FFFFFF" w:themeColor="background1"/>
                        <w:sz w:val="16"/>
                      </w:rPr>
                    </w:pPr>
                    <w:r>
                      <w:rPr>
                        <w:rFonts w:ascii="Arial" w:hAnsi="Arial"/>
                        <w:color w:val="FFFFFF" w:themeColor="background1"/>
                        <w:sz w:val="16"/>
                      </w:rPr>
                      <w:t>J Pain Relief</w:t>
                    </w:r>
                  </w:p>
                  <w:p>
                    <w:pPr>
                      <w:pStyle w:val="FrameContents"/>
                      <w:spacing w:before="8" w:after="0"/>
                      <w:ind w:left="20" w:right="-12"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v:rect>
          </w:pict>
        </mc:Fallback>
      </mc:AlternateContent>
      <mc:AlternateContent>
        <mc:Choice Requires="wps">
          <w:drawing>
            <wp:anchor behindDoc="1" distT="0" distB="0" distL="114300" distR="114300" simplePos="0" locked="0" layoutInCell="1" allowOverlap="1" relativeHeight="10">
              <wp:simplePos x="0" y="0"/>
              <wp:positionH relativeFrom="page">
                <wp:posOffset>3201670</wp:posOffset>
              </wp:positionH>
              <wp:positionV relativeFrom="page">
                <wp:posOffset>10147935</wp:posOffset>
              </wp:positionV>
              <wp:extent cx="1168400" cy="318135"/>
              <wp:effectExtent l="1270" t="3810" r="3175" b="3175"/>
              <wp:wrapNone/>
              <wp:docPr id="7" name="Text Box 2"/>
              <a:graphic xmlns:a="http://schemas.openxmlformats.org/drawingml/2006/main">
                <a:graphicData uri="http://schemas.microsoft.com/office/word/2010/wordprocessingShape">
                  <wps:wsp>
                    <wps:cNvSpPr/>
                    <wps:spPr>
                      <a:xfrm>
                        <a:off x="0" y="0"/>
                        <a:ext cx="1167840" cy="317520"/>
                      </a:xfrm>
                      <a:prstGeom prst="rect">
                        <a:avLst/>
                      </a:prstGeom>
                      <a:noFill/>
                      <a:ln>
                        <a:noFill/>
                      </a:ln>
                    </wps:spPr>
                    <wps:style>
                      <a:lnRef idx="0"/>
                      <a:fillRef idx="0"/>
                      <a:effectRef idx="0"/>
                      <a:fontRef idx="minor"/>
                    </wps:style>
                    <wps:txb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1.9pt;height:24.95pt;mso-position-horizontal-relative:page;mso-position-vertical-relative:page">
              <w10:wrap type="square"/>
              <v:fill o:detectmouseclick="t" on="false"/>
              <v:stroke color="#3465a4" joinstyle="round" endcap="flat"/>
              <v:textbox>
                <w:txbxContent>
                  <w:p>
                    <w:pPr>
                      <w:pStyle w:val="FrameContents"/>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FrameContents"/>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114300" distR="114300" simplePos="0" locked="0" layoutInCell="1" allowOverlap="1" relativeHeight="12">
              <wp:simplePos x="0" y="0"/>
              <wp:positionH relativeFrom="page">
                <wp:posOffset>5955030</wp:posOffset>
              </wp:positionH>
              <wp:positionV relativeFrom="page">
                <wp:posOffset>10144760</wp:posOffset>
              </wp:positionV>
              <wp:extent cx="1162050" cy="332105"/>
              <wp:effectExtent l="1905" t="635" r="0" b="1905"/>
              <wp:wrapNone/>
              <wp:docPr id="9" name="Text Box 1"/>
              <a:graphic xmlns:a="http://schemas.openxmlformats.org/drawingml/2006/main">
                <a:graphicData uri="http://schemas.microsoft.com/office/word/2010/wordprocessingShape">
                  <wps:wsp>
                    <wps:cNvSpPr/>
                    <wps:spPr>
                      <a:xfrm>
                        <a:off x="0" y="0"/>
                        <a:ext cx="1161360" cy="331560"/>
                      </a:xfrm>
                      <a:prstGeom prst="rect">
                        <a:avLst/>
                      </a:prstGeom>
                      <a:noFill/>
                      <a:ln>
                        <a:noFill/>
                      </a:ln>
                    </wps:spPr>
                    <wps:style>
                      <a:lnRef idx="0"/>
                      <a:fillRef idx="0"/>
                      <a:effectRef idx="0"/>
                      <a:fontRef idx="minor"/>
                    </wps:style>
                    <wps:txb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4pt;height:26.05pt;mso-position-horizontal-relative:page;mso-position-vertical-relative:page">
              <w10:wrap type="square"/>
              <v:fill o:detectmouseclick="t" on="false"/>
              <v:stroke color="#3465a4" joinstyle="round" endcap="flat"/>
              <v:textbox>
                <w:txbxContent>
                  <w:p>
                    <w:pPr>
                      <w:pStyle w:val="FrameContents"/>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FrameContents"/>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9"/>
      <w:rPr>
        <w:sz w:val="20"/>
      </w:rPr>
    </w:pPr>
    <w:r>
      <w:rPr>
        <w:sz w:val="20"/>
      </w:rPr>
      <mc:AlternateContent>
        <mc:Choice Requires="wps">
          <w:drawing>
            <wp:anchor behindDoc="1" distT="0" distB="0" distL="114300" distR="114300" simplePos="0" locked="0" layoutInCell="1" allowOverlap="1" relativeHeight="4">
              <wp:simplePos x="0" y="0"/>
              <wp:positionH relativeFrom="page">
                <wp:posOffset>5283200</wp:posOffset>
              </wp:positionH>
              <wp:positionV relativeFrom="page">
                <wp:posOffset>330835</wp:posOffset>
              </wp:positionV>
              <wp:extent cx="1833880" cy="222250"/>
              <wp:effectExtent l="0" t="0" r="0" b="635"/>
              <wp:wrapNone/>
              <wp:docPr id="1" name="Text Box 5"/>
              <a:graphic xmlns:a="http://schemas.openxmlformats.org/drawingml/2006/main">
                <a:graphicData uri="http://schemas.microsoft.com/office/word/2010/wordprocessingShape">
                  <wps:wsp>
                    <wps:cNvSpPr/>
                    <wps:spPr>
                      <a:xfrm>
                        <a:off x="0" y="0"/>
                        <a:ext cx="1833120" cy="221760"/>
                      </a:xfrm>
                      <a:prstGeom prst="rect">
                        <a:avLst/>
                      </a:prstGeom>
                      <a:noFill/>
                      <a:ln>
                        <a:noFill/>
                      </a:ln>
                    </wps:spPr>
                    <wps:style>
                      <a:lnRef idx="0"/>
                      <a:fillRef idx="0"/>
                      <a:effectRef idx="0"/>
                      <a:fontRef idx="minor"/>
                    </wps:style>
                    <wps:txbx>
                      <w:txbxContent>
                        <w:p>
                          <w:pPr>
                            <w:pStyle w:val="FrameContents"/>
                            <w:spacing w:lineRule="auto" w:line="247" w:before="2" w:after="0"/>
                            <w:ind w:right="18" w:hanging="0"/>
                            <w:rPr>
                              <w:rFonts w:ascii="Arial" w:hAnsi="Arial"/>
                              <w:color w:val="FFFFFF" w:themeColor="background1"/>
                              <w:sz w:val="14"/>
                            </w:rPr>
                          </w:pPr>
                          <w:r>
                            <w:rPr>
                              <w:rFonts w:ascii="Arial" w:hAnsi="Arial"/>
                              <w:color w:val="FFFFFF" w:themeColor="background1"/>
                              <w:sz w:val="14"/>
                            </w:rPr>
                          </w:r>
                        </w:p>
                      </w:txbxContent>
                    </wps:txbx>
                    <wps:bodyPr lIns="0" rIns="0" tIns="0" bIns="0">
                      <a:noAutofit/>
                    </wps:bodyPr>
                  </wps:wsp>
                </a:graphicData>
              </a:graphic>
            </wp:anchor>
          </w:drawing>
        </mc:Choice>
        <mc:Fallback>
          <w:pict>
            <v:rect id="shape_0" ID="Text Box 5" stroked="f" style="position:absolute;margin-left:416pt;margin-top:26.05pt;width:144.3pt;height:17.4pt;mso-position-horizontal-relative:page;mso-position-vertical-relative:page">
              <w10:wrap type="none"/>
              <v:fill o:detectmouseclick="t" on="false"/>
              <v:stroke color="#3465a4" joinstyle="round" endcap="flat"/>
              <v:textbox>
                <w:txbxContent>
                  <w:p>
                    <w:pPr>
                      <w:pStyle w:val="FrameContents"/>
                      <w:spacing w:lineRule="auto" w:line="247" w:before="2" w:after="0"/>
                      <w:ind w:right="18" w:hanging="0"/>
                      <w:rPr>
                        <w:rFonts w:ascii="Arial" w:hAnsi="Arial"/>
                        <w:color w:val="FFFFFF" w:themeColor="background1"/>
                        <w:sz w:val="14"/>
                      </w:rPr>
                    </w:pPr>
                    <w:r>
                      <w:rPr>
                        <w:rFonts w:ascii="Arial" w:hAnsi="Arial"/>
                        <w:color w:val="FFFFFF" w:themeColor="background1"/>
                        <w:sz w:val="14"/>
                      </w:rPr>
                    </w:r>
                  </w:p>
                </w:txbxContent>
              </v:textbox>
            </v:rect>
          </w:pict>
        </mc:Fallback>
      </mc:AlternateContent>
      <mc:AlternateContent>
        <mc:Choice Requires="wps">
          <w:drawing>
            <wp:anchor behindDoc="1" distT="0" distB="0" distL="114300" distR="114300" simplePos="0" locked="0" layoutInCell="1" allowOverlap="1" relativeHeight="6">
              <wp:simplePos x="0" y="0"/>
              <wp:positionH relativeFrom="page">
                <wp:posOffset>444500</wp:posOffset>
              </wp:positionH>
              <wp:positionV relativeFrom="page">
                <wp:posOffset>613410</wp:posOffset>
              </wp:positionV>
              <wp:extent cx="6553835" cy="510540"/>
              <wp:effectExtent l="0" t="3810" r="3810" b="1270"/>
              <wp:wrapNone/>
              <wp:docPr id="3" name="Text Box 4"/>
              <a:graphic xmlns:a="http://schemas.openxmlformats.org/drawingml/2006/main">
                <a:graphicData uri="http://schemas.microsoft.com/office/word/2010/wordprocessingShape">
                  <wps:wsp>
                    <wps:cNvSpPr/>
                    <wps:spPr>
                      <a:xfrm>
                        <a:off x="0" y="0"/>
                        <a:ext cx="6553080" cy="509760"/>
                      </a:xfrm>
                      <a:prstGeom prst="rect">
                        <a:avLst/>
                      </a:prstGeom>
                      <a:noFill/>
                      <a:ln>
                        <a:noFill/>
                      </a:ln>
                    </wps:spPr>
                    <wps:style>
                      <a:lnRef idx="0"/>
                      <a:fillRef idx="0"/>
                      <a:effectRef idx="0"/>
                      <a:fontRef idx="minor"/>
                    </wps:style>
                    <wps:txbx>
                      <w:txbxContent>
                        <w:p>
                          <w:pPr>
                            <w:pStyle w:val="TextBody"/>
                            <w:spacing w:lineRule="exact" w:line="187"/>
                            <w:ind w:right="-10" w:hanging="0"/>
                            <w:rPr/>
                          </w:pPr>
                          <w:r>
                            <w:rPr>
                              <w:rFonts w:ascii="Impact" w:hAnsi="Impact"/>
                              <w:color w:val="FFFFFF" w:themeColor="background1"/>
                              <w:sz w:val="52"/>
                            </w:rPr>
                            <w:t xml:space="preserve">n </w:t>
                          </w:r>
                          <w:r>
                            <w:rPr>
                              <w:rFonts w:ascii="Minion Pro" w:hAnsi="Minion Pro"/>
                              <w:color w:val="FFFFFF" w:themeColor="background1"/>
                              <w:sz w:val="24"/>
                            </w:rPr>
                            <w:t>(June 15-16, 2016   Philadelphia, USA)</w:t>
                          </w:r>
                        </w:p>
                      </w:txbxContent>
                    </wps:txbx>
                    <wps:bodyPr lIns="0" rIns="0" tIns="0" bIns="0">
                      <a:noAutofit/>
                    </wps:bodyPr>
                  </wps:wsp>
                </a:graphicData>
              </a:graphic>
            </wp:anchor>
          </w:drawing>
        </mc:Choice>
        <mc:Fallback>
          <w:pict>
            <v:rect id="shape_0" ID="Text Box 4" stroked="f" style="position:absolute;margin-left:35pt;margin-top:48.3pt;width:515.95pt;height:40.1pt;mso-position-horizontal-relative:page;mso-position-vertical-relative:page">
              <w10:wrap type="square"/>
              <v:fill o:detectmouseclick="t" on="false"/>
              <v:stroke color="#3465a4" joinstyle="round" endcap="flat"/>
              <v:textbox>
                <w:txbxContent>
                  <w:p>
                    <w:pPr>
                      <w:pStyle w:val="TextBody"/>
                      <w:spacing w:lineRule="exact" w:line="187"/>
                      <w:ind w:right="-10" w:hanging="0"/>
                      <w:rPr/>
                    </w:pPr>
                    <w:r>
                      <w:rPr>
                        <w:rFonts w:ascii="Impact" w:hAnsi="Impact"/>
                        <w:color w:val="FFFFFF" w:themeColor="background1"/>
                        <w:sz w:val="52"/>
                      </w:rPr>
                      <w:t xml:space="preserve">n </w:t>
                    </w:r>
                    <w:r>
                      <w:rPr>
                        <w:rFonts w:ascii="Minion Pro" w:hAnsi="Minion Pro"/>
                        <w:color w:val="FFFFFF" w:themeColor="background1"/>
                        <w:sz w:val="24"/>
                      </w:rPr>
                      <w:t>(June 15-16, 2016   Philadelphia, USA)</w:t>
                    </w:r>
                  </w:p>
                </w:txbxContent>
              </v:textbox>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83" w:hanging="284"/>
      </w:pPr>
      <w:rPr>
        <w:sz w:val="18"/>
        <w:spacing w:val="-16"/>
        <w:szCs w:val="18"/>
        <w:w w:val="100"/>
        <w:rFonts w:eastAsia="Calibri" w:cs="Calibri"/>
      </w:rPr>
    </w:lvl>
    <w:lvl w:ilvl="1">
      <w:start w:val="1"/>
      <w:numFmt w:val="bullet"/>
      <w:lvlText w:val=""/>
      <w:lvlJc w:val="left"/>
      <w:pPr>
        <w:ind w:left="877" w:hanging="284"/>
      </w:pPr>
      <w:rPr>
        <w:rFonts w:ascii="Symbol" w:hAnsi="Symbol" w:cs="Symbol" w:hint="default"/>
        <w:rFonts w:cs="Symbol"/>
      </w:rPr>
    </w:lvl>
    <w:lvl w:ilvl="2">
      <w:start w:val="1"/>
      <w:numFmt w:val="bullet"/>
      <w:lvlText w:val=""/>
      <w:lvlJc w:val="left"/>
      <w:pPr>
        <w:ind w:left="1374" w:hanging="284"/>
      </w:pPr>
      <w:rPr>
        <w:rFonts w:ascii="Symbol" w:hAnsi="Symbol" w:cs="Symbol" w:hint="default"/>
        <w:rFonts w:cs="Symbol"/>
      </w:rPr>
    </w:lvl>
    <w:lvl w:ilvl="3">
      <w:start w:val="1"/>
      <w:numFmt w:val="bullet"/>
      <w:lvlText w:val=""/>
      <w:lvlJc w:val="left"/>
      <w:pPr>
        <w:ind w:left="1871" w:hanging="284"/>
      </w:pPr>
      <w:rPr>
        <w:rFonts w:ascii="Symbol" w:hAnsi="Symbol" w:cs="Symbol" w:hint="default"/>
        <w:rFonts w:cs="Symbol"/>
      </w:rPr>
    </w:lvl>
    <w:lvl w:ilvl="4">
      <w:start w:val="1"/>
      <w:numFmt w:val="bullet"/>
      <w:lvlText w:val=""/>
      <w:lvlJc w:val="left"/>
      <w:pPr>
        <w:ind w:left="2369" w:hanging="284"/>
      </w:pPr>
      <w:rPr>
        <w:rFonts w:ascii="Symbol" w:hAnsi="Symbol" w:cs="Symbol" w:hint="default"/>
        <w:rFonts w:cs="Symbol"/>
      </w:rPr>
    </w:lvl>
    <w:lvl w:ilvl="5">
      <w:start w:val="1"/>
      <w:numFmt w:val="bullet"/>
      <w:lvlText w:val=""/>
      <w:lvlJc w:val="left"/>
      <w:pPr>
        <w:ind w:left="2866" w:hanging="284"/>
      </w:pPr>
      <w:rPr>
        <w:rFonts w:ascii="Symbol" w:hAnsi="Symbol" w:cs="Symbol" w:hint="default"/>
        <w:rFonts w:cs="Symbol"/>
      </w:rPr>
    </w:lvl>
    <w:lvl w:ilvl="6">
      <w:start w:val="1"/>
      <w:numFmt w:val="bullet"/>
      <w:lvlText w:val=""/>
      <w:lvlJc w:val="left"/>
      <w:pPr>
        <w:ind w:left="3363" w:hanging="284"/>
      </w:pPr>
      <w:rPr>
        <w:rFonts w:ascii="Symbol" w:hAnsi="Symbol" w:cs="Symbol" w:hint="default"/>
        <w:rFonts w:cs="Symbol"/>
      </w:rPr>
    </w:lvl>
    <w:lvl w:ilvl="7">
      <w:start w:val="1"/>
      <w:numFmt w:val="bullet"/>
      <w:lvlText w:val=""/>
      <w:lvlJc w:val="left"/>
      <w:pPr>
        <w:ind w:left="3860" w:hanging="284"/>
      </w:pPr>
      <w:rPr>
        <w:rFonts w:ascii="Symbol" w:hAnsi="Symbol" w:cs="Symbol" w:hint="default"/>
        <w:rFonts w:cs="Symbol"/>
      </w:rPr>
    </w:lvl>
    <w:lvl w:ilvl="8">
      <w:start w:val="1"/>
      <w:numFmt w:val="bullet"/>
      <w:lvlText w:val=""/>
      <w:lvlJc w:val="left"/>
      <w:pPr>
        <w:ind w:left="4358" w:hanging="284"/>
      </w:pPr>
      <w:rPr>
        <w:rFonts w:ascii="Symbol" w:hAnsi="Symbol" w:cs="Symbol" w:hint="default"/>
        <w:rFonts w:cs="Symbol"/>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3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bidi w:val="0"/>
      <w:jc w:val="left"/>
    </w:pPr>
    <w:rPr>
      <w:rFonts w:ascii="Tw Cen MT" w:hAnsi="Tw Cen MT" w:eastAsia="Tw Cen MT" w:cs="Tw Cen MT"/>
      <w:color w:val="00000A"/>
      <w:sz w:val="22"/>
      <w:szCs w:val="22"/>
      <w:lang w:val="en-US" w:eastAsia="en-US" w:bidi="ar-SA"/>
    </w:rPr>
  </w:style>
  <w:style w:type="paragraph" w:styleId="Heading1">
    <w:name w:val="Heading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Heading2">
    <w:name w:val="Heading 2"/>
    <w:basedOn w:val="Normal"/>
    <w:uiPriority w:val="1"/>
    <w:qFormat/>
    <w:rsid w:val="00cd6f55"/>
    <w:pPr>
      <w:ind w:left="100" w:hanging="0"/>
      <w:outlineLvl w:val="1"/>
    </w:pPr>
    <w:rPr>
      <w:rFonts w:ascii="Minion Pro" w:hAnsi="Minion Pro" w:eastAsia="Minion Pro" w:cs="Minion Pro"/>
      <w:sz w:val="24"/>
      <w:szCs w:val="24"/>
    </w:rPr>
  </w:style>
  <w:style w:type="paragraph" w:styleId="Heading3">
    <w:name w:val="Heading 3"/>
    <w:basedOn w:val="Normal"/>
    <w:uiPriority w:val="1"/>
    <w:qFormat/>
    <w:rsid w:val="00cd6f55"/>
    <w:pPr>
      <w:ind w:left="100" w:hanging="0"/>
      <w:outlineLvl w:val="2"/>
    </w:pPr>
    <w:rPr>
      <w:rFonts w:ascii="Arial" w:hAnsi="Arial" w:eastAsia="Arial" w:cs="Arial"/>
      <w:b/>
      <w:bCs/>
      <w:sz w:val="20"/>
      <w:szCs w:val="20"/>
    </w:rPr>
  </w:style>
  <w:style w:type="paragraph" w:styleId="Heading5">
    <w:name w:val="Heading 5"/>
    <w:basedOn w:val="Heading"/>
    <w:qFormat/>
    <w:pPr/>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Internet 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16"/>
      <w:w w:val="100"/>
      <w:sz w:val="18"/>
      <w:szCs w:val="18"/>
    </w:rPr>
  </w:style>
  <w:style w:type="character" w:styleId="ListLabel2">
    <w:name w:val="ListLabel 2"/>
    <w:qFormat/>
    <w:rPr>
      <w:rFonts w:eastAsia="Calibri" w:cs="Calibri"/>
      <w:spacing w:val="-16"/>
      <w:w w:val="100"/>
      <w:sz w:val="18"/>
      <w:szCs w:val="18"/>
    </w:rPr>
  </w:style>
  <w:style w:type="character" w:styleId="ListLabel3">
    <w:name w:val="ListLabel 3"/>
    <w:qFormat/>
    <w:rPr>
      <w:rFonts w:eastAsia="Calibri" w:cs="Calibri"/>
      <w:spacing w:val="-16"/>
      <w:w w:val="100"/>
      <w:sz w:val="18"/>
      <w:szCs w:val="18"/>
    </w:rPr>
  </w:style>
  <w:style w:type="character" w:styleId="ListLabel4">
    <w:name w:val="ListLabel 4"/>
    <w:qFormat/>
    <w:rPr>
      <w:rFonts w:eastAsia="Calibri" w:cs="Calibri"/>
      <w:spacing w:val="-16"/>
      <w:w w:val="100"/>
      <w:sz w:val="18"/>
      <w:szCs w:val="18"/>
    </w:rPr>
  </w:style>
  <w:style w:type="character" w:styleId="ListLabel5">
    <w:name w:val="ListLabel 5"/>
    <w:qFormat/>
    <w:rPr>
      <w:rFonts w:cs="Symbol"/>
    </w:rPr>
  </w:style>
  <w:style w:type="character" w:styleId="ListLabel6">
    <w:name w:val="ListLabel 6"/>
    <w:qFormat/>
    <w:rPr>
      <w:rFonts w:cs="Symbol"/>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rFonts w:cs="Symbol"/>
    </w:rPr>
  </w:style>
  <w:style w:type="character" w:styleId="ListLabel11">
    <w:name w:val="ListLabel 11"/>
    <w:qFormat/>
    <w:rPr>
      <w:rFonts w:cs="Symbol"/>
    </w:rPr>
  </w:style>
  <w:style w:type="character" w:styleId="ListLabel12">
    <w:name w:val="ListLabel 12"/>
    <w:qFormat/>
    <w:rPr>
      <w:rFonts w:cs="Symbol"/>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VisitedInternetLink">
    <w:name w:val="Visited Internet Link"/>
    <w:rPr>
      <w:color w:val="800000"/>
      <w:u w:val="single"/>
      <w:lang w:val="zxx" w:eastAsia="zxx" w:bidi="zxx"/>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link w:val="BodyTextChar"/>
    <w:uiPriority w:val="1"/>
    <w:qFormat/>
    <w:rsid w:val="00cd6f55"/>
    <w:pPr/>
    <w:rPr>
      <w:sz w:val="18"/>
      <w:szCs w:val="18"/>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Header">
    <w:name w:val="Header"/>
    <w:basedOn w:val="Normal"/>
    <w:link w:val="HeaderChar"/>
    <w:uiPriority w:val="99"/>
    <w:unhideWhenUsed/>
    <w:rsid w:val="005b3a56"/>
    <w:pPr>
      <w:tabs>
        <w:tab w:val="center" w:pos="4513" w:leader="none"/>
        <w:tab w:val="right" w:pos="9026" w:leader="none"/>
      </w:tabs>
    </w:pPr>
    <w:rPr/>
  </w:style>
  <w:style w:type="paragraph" w:styleId="Footer">
    <w:name w:val="Footer"/>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FrameContents">
    <w:name w:val="Frame Contents"/>
    <w:basedOn w:val="Normal"/>
    <w:qFormat/>
    <w:pPr/>
    <w:rPr/>
  </w:style>
  <w:style w:type="paragraph" w:styleId="NormalWeb">
    <w:name w:val="Normal (Web)"/>
    <w:basedOn w:val="Normal"/>
    <w:qFormat/>
    <w:pPr>
      <w:spacing w:lineRule="auto" w:line="288" w:before="280" w:after="144"/>
    </w:pPr>
    <w:rPr>
      <w:rFonts w:ascii="Times New Roman" w:hAnsi="Times New Roman" w:eastAsia="Times New Roman" w:cs="Times New Roman"/>
      <w:lang w:eastAsia="en-US" w:bidi="bn-IN"/>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yperlink" Target="https://www.researchgate.net/profile/Michal_Kola?_sg=0WWYemufkHEVSNvuRUMzU7l-H-YvEgldQPT-RtTfDznvFBgCokU_wutu1VusAgN_6YDKwLE.KkeO0CSUha1X_r8cC_-i3SSVCLtEDN46c3mHvMhwSFAMPkuqjwHKhBEg2qvqNNIOtuqVqwVzwsK1xgXkzIrOpQ" TargetMode="External"/><Relationship Id="rId5" Type="http://schemas.openxmlformats.org/officeDocument/2006/relationships/image" Target="media/image1.jpe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300</TotalTime>
  <Application>LibreOffice/5.1.6.2$Linux_X86_64 LibreOffice_project/10m0$Build-2</Application>
  <Pages>2</Pages>
  <Words>783</Words>
  <Characters>4598</Characters>
  <CharactersWithSpaces>5367</CharactersWithSpaces>
  <Paragraphs>41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2016-08-31T10:27:00Z</dcterms:created>
  <dc:creator>mehaboobi shaik</dc:creator>
  <dc:description/>
  <dc:language>en-US</dc:language>
  <cp:lastModifiedBy/>
  <cp:lastPrinted>2018-07-30T14:59:39Z</cp:lastPrinted>
  <dcterms:modified xsi:type="dcterms:W3CDTF">2018-07-30T16:15:47Z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