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2AB5" w:rsidRDefault="00752AB5" w:rsidP="00752AB5">
      <w:pPr>
        <w:bidi w:val="0"/>
        <w:spacing w:line="360" w:lineRule="auto"/>
        <w:rPr>
          <w:b/>
          <w:bCs/>
          <w:lang w:bidi="fa-IR"/>
        </w:rPr>
      </w:pPr>
      <w:r>
        <w:rPr>
          <w:b/>
          <w:bCs/>
          <w:lang w:bidi="fa-IR"/>
        </w:rPr>
        <w:t>Abstract</w:t>
      </w:r>
    </w:p>
    <w:p w:rsidR="00752AB5" w:rsidRDefault="00752AB5" w:rsidP="00752AB5">
      <w:pPr>
        <w:bidi w:val="0"/>
        <w:spacing w:line="360" w:lineRule="auto"/>
        <w:ind w:firstLine="360"/>
        <w:jc w:val="lowKashida"/>
        <w:rPr>
          <w:lang w:bidi="fa-IR"/>
        </w:rPr>
      </w:pPr>
      <w:r>
        <w:rPr>
          <w:lang w:bidi="fa-IR"/>
        </w:rPr>
        <w:t xml:space="preserve">Using surface tension and </w:t>
      </w:r>
      <w:proofErr w:type="spellStart"/>
      <w:r>
        <w:rPr>
          <w:lang w:bidi="fa-IR"/>
        </w:rPr>
        <w:t>conductometry</w:t>
      </w:r>
      <w:proofErr w:type="spellEnd"/>
      <w:r w:rsidRPr="001A4BB0">
        <w:rPr>
          <w:lang w:bidi="fa-IR"/>
        </w:rPr>
        <w:t xml:space="preserve"> </w:t>
      </w:r>
      <w:r>
        <w:rPr>
          <w:lang w:bidi="fa-IR"/>
        </w:rPr>
        <w:t xml:space="preserve">techniques, </w:t>
      </w:r>
      <w:r w:rsidRPr="00581251">
        <w:rPr>
          <w:lang w:bidi="fa-IR"/>
        </w:rPr>
        <w:t>Self</w:t>
      </w:r>
      <w:r>
        <w:rPr>
          <w:lang w:bidi="fa-IR"/>
        </w:rPr>
        <w:t>-</w:t>
      </w:r>
      <w:r w:rsidRPr="00581251">
        <w:rPr>
          <w:lang w:bidi="fa-IR"/>
        </w:rPr>
        <w:t xml:space="preserve">aggregation </w:t>
      </w:r>
      <w:r>
        <w:rPr>
          <w:lang w:bidi="fa-IR"/>
        </w:rPr>
        <w:t xml:space="preserve">of mixed binary nonionic and ionic comprising </w:t>
      </w:r>
      <w:proofErr w:type="spellStart"/>
      <w:r>
        <w:rPr>
          <w:lang w:bidi="fa-IR"/>
        </w:rPr>
        <w:t>cetyltrimethylammoniun</w:t>
      </w:r>
      <w:proofErr w:type="spellEnd"/>
      <w:r>
        <w:rPr>
          <w:lang w:bidi="fa-IR"/>
        </w:rPr>
        <w:t xml:space="preserve"> bromide(CTAB) and </w:t>
      </w:r>
      <w:r>
        <w:rPr>
          <w:color w:val="000000"/>
        </w:rPr>
        <w:t xml:space="preserve">-(1,1,3,3-tetramethylbutyl) </w:t>
      </w:r>
      <w:proofErr w:type="spellStart"/>
      <w:r>
        <w:rPr>
          <w:color w:val="000000"/>
        </w:rPr>
        <w:t>polyoxyethylene</w:t>
      </w:r>
      <w:proofErr w:type="spellEnd"/>
      <w:r>
        <w:rPr>
          <w:color w:val="000000"/>
        </w:rPr>
        <w:t xml:space="preserve"> (TritonX-100)</w:t>
      </w:r>
      <w:r>
        <w:rPr>
          <w:lang w:bidi="fa-IR"/>
        </w:rPr>
        <w:t xml:space="preserve"> were investigated in detail at different temperatures and electrolyte concentration. The thermodynamic parameters for the </w:t>
      </w:r>
      <w:proofErr w:type="spellStart"/>
      <w:r>
        <w:rPr>
          <w:lang w:bidi="fa-IR"/>
        </w:rPr>
        <w:t>micellization</w:t>
      </w:r>
      <w:proofErr w:type="spellEnd"/>
      <w:r>
        <w:rPr>
          <w:lang w:bidi="fa-IR"/>
        </w:rPr>
        <w:t xml:space="preserve"> were obtained from the temperature-dependent data on critical micelle concentration and degree of </w:t>
      </w:r>
      <w:proofErr w:type="spellStart"/>
      <w:r>
        <w:rPr>
          <w:lang w:bidi="fa-IR"/>
        </w:rPr>
        <w:t>counterion</w:t>
      </w:r>
      <w:proofErr w:type="spellEnd"/>
      <w:r>
        <w:rPr>
          <w:lang w:bidi="fa-IR"/>
        </w:rPr>
        <w:t xml:space="preserve"> dissociation. The influence of electrolyte on the </w:t>
      </w:r>
      <w:proofErr w:type="spellStart"/>
      <w:r>
        <w:rPr>
          <w:lang w:bidi="fa-IR"/>
        </w:rPr>
        <w:t>micellization</w:t>
      </w:r>
      <w:proofErr w:type="spellEnd"/>
      <w:r>
        <w:rPr>
          <w:lang w:bidi="fa-IR"/>
        </w:rPr>
        <w:t xml:space="preserve"> of surfactants was monitored from the changes of thermodynamic parameters. An enthalpy –entropy compensation effect was observed in all systems both in the presence and absence of electrolyte and its plots exhibited an excellent linearity. In addition, the interfacial adsorptions of the pure and mixed </w:t>
      </w:r>
      <w:proofErr w:type="spellStart"/>
      <w:r>
        <w:rPr>
          <w:lang w:bidi="fa-IR"/>
        </w:rPr>
        <w:t>amphiphiles</w:t>
      </w:r>
      <w:proofErr w:type="spellEnd"/>
      <w:r>
        <w:rPr>
          <w:lang w:bidi="fa-IR"/>
        </w:rPr>
        <w:t xml:space="preserve"> including their surface excess, head group areas, surface pressure and thermodynamic parameters of adsorption were evaluated.</w:t>
      </w:r>
    </w:p>
    <w:p w:rsidR="00752AB5" w:rsidRDefault="00752AB5" w:rsidP="00752AB5">
      <w:pPr>
        <w:bidi w:val="0"/>
        <w:spacing w:line="360" w:lineRule="auto"/>
        <w:ind w:firstLine="360"/>
        <w:jc w:val="lowKashida"/>
        <w:rPr>
          <w:lang w:bidi="fa-IR"/>
        </w:rPr>
      </w:pPr>
      <w:r w:rsidRPr="00F26ECD">
        <w:rPr>
          <w:b/>
          <w:bCs/>
          <w:lang w:bidi="fa-IR"/>
        </w:rPr>
        <w:t>Key words</w:t>
      </w:r>
      <w:r>
        <w:rPr>
          <w:lang w:bidi="fa-IR"/>
        </w:rPr>
        <w:t xml:space="preserve">: surface tension; enthalpy –entropy compensation; adsorption; thermodynamic; </w:t>
      </w:r>
      <w:proofErr w:type="spellStart"/>
      <w:r>
        <w:rPr>
          <w:lang w:bidi="fa-IR"/>
        </w:rPr>
        <w:t>micellization</w:t>
      </w:r>
      <w:proofErr w:type="spellEnd"/>
      <w:r>
        <w:rPr>
          <w:lang w:bidi="fa-IR"/>
        </w:rPr>
        <w:t>; mixed surfactants; CTAB; TritonX-100.</w:t>
      </w:r>
    </w:p>
    <w:p w:rsidR="00752AB5" w:rsidRDefault="00752AB5" w:rsidP="00752AB5">
      <w:pPr>
        <w:bidi w:val="0"/>
        <w:spacing w:line="360" w:lineRule="auto"/>
        <w:ind w:firstLine="360"/>
        <w:jc w:val="lowKashida"/>
        <w:rPr>
          <w:lang w:bidi="fa-IR"/>
        </w:rPr>
      </w:pPr>
    </w:p>
    <w:p w:rsidR="00E77857" w:rsidRPr="00752AB5" w:rsidRDefault="00752AB5"/>
    <w:sectPr w:rsidR="00E77857" w:rsidRPr="00752AB5" w:rsidSect="00DF23FD">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proofState w:spelling="clean"/>
  <w:defaultTabStop w:val="708"/>
  <w:hyphenationZone w:val="283"/>
  <w:characterSpacingControl w:val="doNotCompress"/>
  <w:compat/>
  <w:rsids>
    <w:rsidRoot w:val="00752AB5"/>
    <w:rsid w:val="004D49DC"/>
    <w:rsid w:val="00685026"/>
    <w:rsid w:val="00752AB5"/>
    <w:rsid w:val="00DF23FD"/>
  </w:rsids>
  <m:mathPr>
    <m:mathFont m:val="Cambria Math"/>
    <m:brkBin m:val="before"/>
    <m:brkBinSub m:val="--"/>
    <m:smallFrac m:val="off"/>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52AB5"/>
    <w:pPr>
      <w:bidi/>
      <w:spacing w:after="0" w:line="240" w:lineRule="auto"/>
    </w:pPr>
    <w:rPr>
      <w:rFonts w:ascii="Times New Roman" w:eastAsia="Times New Roman" w:hAnsi="Times New Roman" w:cs="Times New Roman"/>
      <w:sz w:val="24"/>
      <w:szCs w:val="24"/>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166</Words>
  <Characters>949</Characters>
  <Application>Microsoft Office Word</Application>
  <DocSecurity>0</DocSecurity>
  <Lines>7</Lines>
  <Paragraphs>2</Paragraphs>
  <ScaleCrop>false</ScaleCrop>
  <Company/>
  <LinksUpToDate>false</LinksUpToDate>
  <CharactersWithSpaces>1113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1</cp:revision>
  <dcterms:created xsi:type="dcterms:W3CDTF">2018-06-07T09:12:00Z</dcterms:created>
  <dcterms:modified xsi:type="dcterms:W3CDTF">2018-06-07T09:12:00Z</dcterms:modified>
</cp:coreProperties>
</file>