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pPr>
      <w:r>
        <w:rPr>
          <w:rFonts w:ascii="Times" w:h-ansi="Times" w:cs="Times"/>
          <w:sz w:val="24"/>
          <w:sz-cs w:val="24"/>
          <w:b/>
          <w:color w:val="181512"/>
        </w:rPr>
        <w:t xml:space="preserve">57-Fe Mössbauer Spectroscopy on Fe-Mg-O Nanocomposite Particles Grown by a Novel Chemical Vapor Synthesis Method</w:t>
      </w:r>
      <w:r>
        <w:rPr>
          <w:rFonts w:ascii="Times" w:h-ansi="Times" w:cs="Times"/>
          <w:sz w:val="24"/>
          <w:sz-cs w:val="24"/>
          <w:color w:val="337AB7"/>
        </w:rPr>
        <w:t xml:space="preserve"/>
      </w:r>
    </w:p>
    <w:p>
      <w:pPr>
        <w:jc w:val="both"/>
      </w:pPr>
      <w:r>
        <w:rPr>
          <w:rFonts w:ascii="Arial" w:h-ansi="Arial" w:cs="Arial"/>
          <w:sz w:val="24"/>
          <w:sz-cs w:val="24"/>
        </w:rPr>
        <w:t xml:space="preserve">Werner Lottermoser, Prof.Dr., Salzburg University, Austria </w:t>
      </w:r>
    </w:p>
    <w:p>
      <w:pPr>
        <w:jc w:val="both"/>
      </w:pPr>
      <w:r>
        <w:rPr>
          <w:rFonts w:ascii="Arial" w:h-ansi="Arial" w:cs="Arial"/>
          <w:sz w:val="24"/>
          <w:sz-cs w:val="24"/>
        </w:rPr>
        <w:t xml:space="preserve">Amir R Gheisi, Dr., University of Erlangen-Nürnberg, Germany</w:t>
      </w:r>
    </w:p>
    <w:p>
      <w:pPr/>
      <w:r>
        <w:rPr>
          <w:rFonts w:ascii="Arial" w:h-ansi="Arial" w:cs="Arial"/>
          <w:sz w:val="24"/>
          <w:sz-cs w:val="24"/>
        </w:rPr>
        <w:t xml:space="preserve">Matthias Niedermaier, Dr., Salzburg University, Austria</w:t>
      </w:r>
    </w:p>
    <w:p>
      <w:pPr>
        <w:spacing w:before="3"/>
      </w:pPr>
      <w:r>
        <w:rPr>
          <w:rFonts w:ascii="Arial" w:h-ansi="Arial" w:cs="Arial"/>
          <w:sz w:val="24"/>
          <w:sz-cs w:val="24"/>
        </w:rPr>
        <w:t xml:space="preserve">Gerold Tippelt, Mag., Salzburg University, Austria</w:t>
      </w:r>
    </w:p>
    <w:p>
      <w:pPr/>
      <w:r>
        <w:rPr>
          <w:rFonts w:ascii="Arial" w:h-ansi="Arial" w:cs="Arial"/>
          <w:sz w:val="24"/>
          <w:sz-cs w:val="24"/>
        </w:rPr>
        <w:t xml:space="preserve">Johannes Bernardi, Dr., Vienna University of Technology, Austria</w:t>
      </w:r>
    </w:p>
    <w:p>
      <w:pPr/>
      <w:r>
        <w:rPr>
          <w:rFonts w:ascii="Arial" w:h-ansi="Arial" w:cs="Arial"/>
          <w:sz w:val="24"/>
          <w:sz-cs w:val="24"/>
        </w:rPr>
        <w:t xml:space="preserve">Oliver Diwald, Prof.Dr., Salzburg University, Austria</w:t>
      </w:r>
    </w:p>
    <w:p>
      <w:pPr>
        <w:jc w:val="both"/>
        <w:spacing w:before="147"/>
      </w:pPr>
      <w:r>
        <w:rPr>
          <w:rFonts w:ascii="Times" w:h-ansi="Times" w:cs="Times"/>
          <w:sz w:val="24"/>
          <w:sz-cs w:val="24"/>
          <w:color w:val="BF5A14"/>
        </w:rPr>
        <w:t xml:space="preserve">Abstract </w:t>
      </w:r>
    </w:p>
    <w:p>
      <w:pPr>
        <w:jc w:val="both"/>
        <w:ind w:left="100"/>
        <w:spacing w:before="90"/>
      </w:pPr>
      <w:r>
        <w:rPr>
          <w:rFonts w:ascii="Times" w:h-ansi="Times" w:cs="Times"/>
          <w:sz w:val="24"/>
          <w:sz-cs w:val="24"/>
        </w:rPr>
        <w:t xml:space="preserve">Statement of the Problem: The admixture of 3d transition metals to particles and ceramic structures of non-reducible metal oxides has given rise to a variety of functionalities used in industrial applications. However, it is not easy to control  the impurity localization and  the nanomaterials' functional properties.</w:t>
      </w:r>
    </w:p>
    <w:p>
      <w:pPr>
        <w:jc w:val="both"/>
        <w:ind w:left="100"/>
        <w:spacing w:before="90"/>
      </w:pPr>
      <w:r>
        <w:rPr>
          <w:rFonts w:ascii="Times" w:h-ansi="Times" w:cs="Times"/>
          <w:sz w:val="24"/>
          <w:sz-cs w:val="24"/>
        </w:rPr>
        <w:t xml:space="preserve">Methodology &amp; Theoretical Orientation: Powders of Fe-Mg-O nanocomposite particles have been grown using a novel chemical vapor synthesis approach which involves metalorganic precursor decomposition inside the combustion flame. After annealing in controlled gas atmosphere composition distribution functions, structure and phase stability of the obtained magnesiowüstite nanoparticles were measured with a combination of methods. </w:t>
      </w:r>
    </w:p>
    <w:p>
      <w:pPr>
        <w:jc w:val="both"/>
        <w:ind w:left="100"/>
        <w:spacing w:before="90"/>
      </w:pPr>
      <w:r>
        <w:rPr>
          <w:rFonts w:ascii="Times" w:h-ansi="Times" w:cs="Times"/>
          <w:sz w:val="24"/>
          <w:sz-cs w:val="24"/>
        </w:rPr>
        <w:t xml:space="preserve">Findings: 57-Mössbauer spectroscopy measurements revealed that - depending on Fe loading and annealing temperature - either metastable and superparamagnetic solid solutions of FeIII ions in periclase MgO or phase separated mixtures of MgO and antiferromagnetic magnesioferrite MgFe2O4 nanoparticles can be obtained.</w:t>
      </w:r>
    </w:p>
    <w:p>
      <w:pPr>
        <w:jc w:val="both"/>
        <w:ind w:left="100"/>
        <w:spacing w:before="90"/>
      </w:pPr>
      <w:r>
        <w:rPr>
          <w:rFonts w:ascii="Times" w:h-ansi="Times" w:cs="Times"/>
          <w:sz w:val="24"/>
          <w:sz-cs w:val="24"/>
        </w:rPr>
        <w:t xml:space="preserve">Conclusion &amp; Significance: The combination of the present hybrid combustion technique with annealing protocols emphasize the great potential of vapor phase grown non-equilibrium solids: Applying this method, phase separation, disproportionation and the appearance of magnetic properties can be tuned intentionally. Different from their bulk counterpart, MgFe2O4 nanoparticles with identical composition and structure are superparamagnetic and are promising material components for Magnetic Resonance Imaging (MRI), as high density information storage materials or for magnetocaloric refrigeration. </w:t>
      </w:r>
      <w:r>
        <w:rPr>
          <w:rFonts w:ascii="Times" w:h-ansi="Times" w:cs="Times"/>
          <w:sz w:val="24"/>
          <w:sz-cs w:val="24"/>
          <w:color w:val="BF5A14"/>
        </w:rPr>
        <w:t xml:space="preserve"/>
      </w:r>
    </w:p>
    <w:p>
      <w:pPr>
        <w:spacing w:before="2"/>
      </w:pPr>
      <w:r>
        <w:rPr>
          <w:rFonts w:ascii="Times" w:h-ansi="Times" w:cs="Times"/>
          <w:sz w:val="24"/>
          <w:sz-cs w:val="24"/>
        </w:rPr>
        <w:t xml:space="preserve"/>
      </w:r>
    </w:p>
    <w:p>
      <w:pPr/>
      <w:r>
        <w:rPr>
          <w:rFonts w:ascii="Arial" w:h-ansi="Arial" w:cs="Arial"/>
          <w:sz w:val="20"/>
          <w:sz-cs w:val="20"/>
          <w:b/>
          <w:color w:val="BF5A14"/>
        </w:rPr>
        <w:t xml:space="preserve"/>
        <w:br/>
        <w:t xml:space="preserve">Recent Publications</w:t>
      </w:r>
    </w:p>
    <w:p>
      <w:pPr>
        <w:ind w:left="720" w:right="138" w:first-line="-720"/>
        <w:spacing w:before="103"/>
      </w:pPr>
      <w:r>
        <w:rPr>
          <w:rFonts w:ascii="Times" w:h-ansi="Times" w:cs="Times"/>
          <w:sz w:val="18"/>
          <w:sz-cs w:val="18"/>
        </w:rPr>
        <w:t xml:space="preserve"/>
        <w:tab/>
        <w:t xml:space="preserve">•</w:t>
        <w:tab/>
        <w:t xml:space="preserve">Lottermoser W (2017) The Difference Electron Nanoscope: Methods and Applications. Pan Stanford Publishing Pte. Ltd., 253 pages. ISBN 978-981-4774-01-7</w:t>
      </w:r>
    </w:p>
    <w:p>
      <w:pPr>
        <w:ind w:left="720" w:right="137" w:first-line="-720"/>
      </w:pPr>
      <w:r>
        <w:rPr>
          <w:rFonts w:ascii="Times" w:h-ansi="Times" w:cs="Times"/>
          <w:sz w:val="18"/>
          <w:sz-cs w:val="18"/>
        </w:rPr>
        <w:t xml:space="preserve"/>
        <w:tab/>
        <w:t xml:space="preserve">•</w:t>
        <w:tab/>
        <w:t xml:space="preserve">Gheisi AR, Niedermaier M, Tippelt G, Lottermoser W, Bernardi J, Diwald O (2017) Iron precursor decomposition in the Magnesium conbustion flame: a new approach for the synthesis of particulate metal oxide nanocomposites: in press. Paricle &amp; Particle Characterization Systems</w:t>
      </w:r>
    </w:p>
    <w:p>
      <w:pPr>
        <w:ind w:left="720" w:right="137" w:first-line="-720"/>
      </w:pPr>
      <w:r>
        <w:rPr>
          <w:rFonts w:ascii="Times" w:h-ansi="Times" w:cs="Times"/>
          <w:sz w:val="18"/>
          <w:sz-cs w:val="18"/>
        </w:rPr>
        <w:t xml:space="preserve"/>
        <w:tab/>
        <w:t xml:space="preserve">•</w:t>
        <w:tab/>
        <w:t xml:space="preserve">Vollath D (2013) Nanomaterials.  §8.4 Applications of Superparamagnetic Materials: 193. 2nd ed. Wiley-VCH Weinheim, Germany</w:t>
      </w:r>
    </w:p>
    <w:p>
      <w:pPr>
        <w:ind w:left="720" w:right="137" w:first-line="-720"/>
      </w:pPr>
      <w:r>
        <w:rPr>
          <w:rFonts w:ascii="Times" w:h-ansi="Times" w:cs="Times"/>
          <w:sz w:val="18"/>
          <w:sz-cs w:val="18"/>
        </w:rPr>
        <w:t xml:space="preserve"/>
        <w:tab/>
        <w:t xml:space="preserve">•</w:t>
        <w:tab/>
        <w:t xml:space="preserve">Lottermoser W, Steiner K, Scharfetter G, Weber SU, Grodzicki M, Kirfel A, Amthauer G (2013) Application of a Difference Electron Nanoscope (DEN) - a computer hard- and software to display 3D electron densities and magnetical structures based on spectroscopic and diffractometric data. Cryst. Res. Technol., 1- 7</w:t>
      </w:r>
    </w:p>
    <w:p>
      <w:pPr>
        <w:ind w:left="720" w:right="137" w:first-line="-720"/>
      </w:pPr>
      <w:r>
        <w:rPr>
          <w:rFonts w:ascii="Times" w:h-ansi="Times" w:cs="Times"/>
          <w:sz w:val="18"/>
          <w:sz-cs w:val="18"/>
        </w:rPr>
        <w:t xml:space="preserve"/>
        <w:tab/>
        <w:t xml:space="preserve">•</w:t>
        <w:tab/>
        <w:t xml:space="preserve">Lenaz D, Skogby H, Princivalle F et al. (2006) The MgCr2O4-MgFe2O4 solid solution series: effects of octahedrally coordinated Fe3+ on T-O bond lengths.Phys Chem Minerals 33: 465 - 474</w:t>
      </w:r>
    </w:p>
    <w:p>
      <w:pPr>
        <w:ind w:left="720" w:right="137" w:first-line="-720"/>
      </w:pPr>
      <w:r>
        <w:rPr>
          <w:rFonts w:ascii="Times" w:h-ansi="Times" w:cs="Times"/>
          <w:sz w:val="18"/>
          <w:sz-cs w:val="18"/>
        </w:rPr>
        <w:t xml:space="preserve"/>
        <w:tab/>
        <w:t xml:space="preserve"/>
      </w:r>
      <w:r>
        <w:rPr>
          <w:rFonts w:ascii="Times" w:h-ansi="Times" w:cs="Times"/>
          <w:sz w:val="4"/>
          <w:sz-cs w:val="4"/>
        </w:rPr>
        <w:t xml:space="preserve"/>
      </w:r>
    </w:p>
    <w:p>
      <w:pPr>
        <w:ind w:right="4234"/>
        <w:spacing w:before="92"/>
      </w:pPr>
      <w:r>
        <w:rPr>
          <w:rFonts w:ascii="Times" w:h-ansi="Times" w:cs="Times"/>
          <w:sz w:val="24"/>
          <w:sz-cs w:val="24"/>
        </w:rPr>
        <w:t xml:space="preserve">              </w:t>
      </w:r>
      <w:r>
        <w:rPr>
          <w:rFonts w:ascii="Arial" w:h-ansi="Arial" w:cs="Arial"/>
          <w:sz w:val="24"/>
          <w:sz-cs w:val="24"/>
          <w:color w:val="BF5A14"/>
        </w:rPr>
        <w:t xml:space="preserve">Biography </w:t>
      </w:r>
    </w:p>
    <w:p>
      <w:pPr>
        <w:jc w:val="both"/>
        <w:ind w:left="213" w:right="231"/>
        <w:spacing w:before="41"/>
      </w:pPr>
      <w:r>
        <w:rPr>
          <w:rFonts w:ascii="Arial" w:h-ansi="Arial" w:cs="Arial"/>
          <w:sz w:val="14"/>
          <w:sz-cs w:val="14"/>
        </w:rPr>
        <w:t xml:space="preserve">Werner Lottermoser, solid state physicist, has completed his thesis work about neutron diffraction and magnetism of special silicates at CNRS, CENG and ILL Grenoble, France, and University of Frankfurt, Germany. He obtained university lecturing qualfication and professorship due to a study on Single Crystal Mössbauer Spectroscopy at Salzburg University, Austria, and was working in different scientific projects granted by the Austrian Fund of Scientic Research (FWF). Together with his working group he developed a software to combine the results of SCMBS, X-ray/synchrotron and neutron diffractometry to the common benefit of nanoscience. This rather new method is called "Difference Electron Nanoscopy (DEN) and allows to get uncompared quasi-3D views of the electronic distribution within the crystal unit cell and is described in a book (s. above), which has recently appeared. Consequently he is now working on sub-nanometric imaging, nanomaterials and materials for industrial applications.</w:t>
      </w:r>
    </w:p>
    <w:p>
      <w:pPr>
        <w:jc w:val="both"/>
        <w:ind w:left="213" w:right="231"/>
        <w:spacing w:before="41"/>
      </w:pPr>
      <w:r>
        <w:rPr>
          <w:rFonts w:ascii="Arial" w:h-ansi="Arial" w:cs="Arial"/>
          <w:sz w:val="14"/>
          <w:sz-cs w:val="14"/>
        </w:rPr>
        <w:t xml:space="preserve">Email: werner.lottermoser@sbg.ac.at</w:t>
      </w:r>
    </w:p>
    <w:p>
      <w:pPr>
        <w:spacing w:before="2"/>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spacing w:before="3"/>
      </w:pPr>
      <w:r>
        <w:rPr>
          <w:rFonts w:ascii="Arial" w:h-ansi="Arial" w:cs="Arial"/>
          <w:sz w:val="16"/>
          <w:sz-cs w:val="16"/>
          <w:b/>
        </w:rPr>
        <w:t xml:space="preserve">Presenting author details </w:t>
      </w:r>
    </w:p>
    <w:p>
      <w:pPr>
        <w:spacing w:before="3"/>
      </w:pPr>
      <w:r>
        <w:rPr>
          <w:rFonts w:ascii="Arial" w:h-ansi="Arial" w:cs="Arial"/>
          <w:sz w:val="16"/>
          <w:sz-cs w:val="16"/>
        </w:rPr>
        <w:t xml:space="preserve">Full name: Werner Lottermoser</w:t>
      </w:r>
    </w:p>
    <w:p>
      <w:pPr>
        <w:spacing w:before="3"/>
      </w:pPr>
      <w:r>
        <w:rPr>
          <w:rFonts w:ascii="Arial" w:h-ansi="Arial" w:cs="Arial"/>
          <w:sz w:val="16"/>
          <w:sz-cs w:val="16"/>
        </w:rPr>
        <w:t xml:space="preserve">Contact number: +43 662 8044 6231</w:t>
      </w:r>
    </w:p>
    <w:p>
      <w:pPr>
        <w:spacing w:before="3"/>
      </w:pPr>
      <w:r>
        <w:rPr>
          <w:rFonts w:ascii="Arial" w:h-ansi="Arial" w:cs="Arial"/>
          <w:sz w:val="16"/>
          <w:sz-cs w:val="16"/>
        </w:rPr>
        <w:t xml:space="preserve">Linked In account:</w:t>
      </w:r>
    </w:p>
    <w:p>
      <w:pPr>
        <w:spacing w:before="3"/>
      </w:pPr>
      <w:r>
        <w:rPr>
          <w:rFonts w:ascii="Arial" w:h-ansi="Arial" w:cs="Arial"/>
          <w:sz w:val="16"/>
          <w:sz-cs w:val="16"/>
        </w:rPr>
        <w:t xml:space="preserve">Session name/ number: </w:t>
      </w:r>
    </w:p>
    <w:p>
      <w:pPr>
        <w:spacing w:before="3"/>
      </w:pPr>
      <w:r>
        <w:rPr>
          <w:rFonts w:ascii="Arial" w:h-ansi="Arial" w:cs="Arial"/>
          <w:sz w:val="16"/>
          <w:sz-cs w:val="16"/>
        </w:rPr>
        <w:t xml:space="preserve">Category: (Oral presentation)</w:t>
      </w:r>
    </w:p>
    <w:p>
      <w:pPr>
        <w:spacing w:before="3"/>
      </w:pPr>
      <w:r>
        <w:rPr>
          <w:rFonts w:ascii="Arial" w:h-ansi="Arial" w:cs="Arial"/>
          <w:sz w:val="16"/>
          <w:sz-cs w:val="16"/>
        </w:rPr>
        <w:t xml:space="preserve"/>
      </w:r>
    </w:p>
    <w:p>
      <w:pPr>
        <w:ind w:left="100"/>
        <w:spacing w:before="39"/>
      </w:pPr>
      <w:r>
        <w:rPr>
          <w:rFonts w:ascii="Times" w:h-ansi="Times" w:cs="Times"/>
          <w:sz w:val="20"/>
          <w:sz-cs w:val="20"/>
          <w:b/>
        </w:rPr>
        <w:t xml:space="preserve">Notes/Comments: </w:t>
      </w:r>
    </w:p>
    <w:sectPr>
      <w:pgSz w:w="11900" w:h="16840"/>
      <w:pgMar w:top="1740" w:right="580" w:bottom="840" w:left="62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coreProperties>
</file>

<file path=docProps/meta.xml><?xml version="1.0" encoding="utf-8"?>
<meta xmlns="http://schemas.apple.com/cocoa/2006/metadata">
  <generator>CocoaOOXMLWriter/949.54</generator>
</meta>
</file>