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74DAD" w:rsidP="00494130">
      <w:pPr>
        <w:pStyle w:val="1"/>
        <w:spacing w:before="170"/>
        <w:ind w:left="0"/>
      </w:pPr>
      <w:r>
        <w:rPr>
          <w:color w:val="337AB7"/>
        </w:rPr>
        <w:t>Intra- and Intermolecular Strategies to Improving Photoluminescence Quantum Yields of n</w:t>
      </w:r>
      <w:r>
        <w:rPr>
          <w:color w:val="337AB7"/>
        </w:rPr>
        <w:sym w:font="Symbol" w:char="F02D"/>
      </w:r>
      <w:r>
        <w:rPr>
          <w:color w:val="337AB7"/>
        </w:rPr>
        <w:sym w:font="Symbol" w:char="F070"/>
      </w:r>
      <w:r>
        <w:rPr>
          <w:color w:val="337AB7"/>
        </w:rPr>
        <w:t>* Fluorophores Capable of Harvesting Triplet Excitons</w:t>
      </w:r>
    </w:p>
    <w:p w:rsidR="004155F8" w:rsidRDefault="00502975" w:rsidP="004155F8">
      <w:pPr>
        <w:pStyle w:val="a3"/>
        <w:spacing w:before="73" w:line="198" w:lineRule="exact"/>
        <w:ind w:left="100" w:right="5987"/>
        <w:rPr>
          <w:rFonts w:ascii="Arial"/>
        </w:rPr>
      </w:pPr>
      <w:r w:rsidRPr="00874DAD">
        <w:rPr>
          <w:rFonts w:ascii="Arial"/>
          <w:u w:val="single"/>
        </w:rPr>
        <w:t>Youngmin You</w:t>
      </w:r>
      <w:r w:rsidR="002B5183">
        <w:rPr>
          <w:rFonts w:ascii="Arial"/>
        </w:rPr>
        <w:t>*</w:t>
      </w:r>
      <w:r w:rsidR="005973B9">
        <w:rPr>
          <w:rFonts w:ascii="Arial"/>
        </w:rPr>
        <w:t xml:space="preserve">, </w:t>
      </w:r>
      <w:r w:rsidR="001F2519">
        <w:rPr>
          <w:rFonts w:ascii="Arial"/>
        </w:rPr>
        <w:t xml:space="preserve">Division of Chemical Engineering and Materials Science, Ewha Womans University, 03760 Seoul, </w:t>
      </w:r>
      <w:r w:rsidR="001F2519" w:rsidRPr="004155F8">
        <w:rPr>
          <w:rFonts w:ascii="Arial"/>
        </w:rPr>
        <w:t>Republic of Korea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1C6BF4" w:rsidRPr="001F5DAE" w:rsidRDefault="00874DAD" w:rsidP="009C7C9A">
      <w:pPr>
        <w:pStyle w:val="a3"/>
        <w:spacing w:before="90" w:line="280" w:lineRule="auto"/>
        <w:ind w:left="100" w:firstLineChars="50" w:firstLine="90"/>
        <w:jc w:val="both"/>
      </w:pPr>
      <w:r>
        <w:t>Spin statics of excitons is the key factor that determine</w:t>
      </w:r>
      <w:r w:rsidR="003B7672">
        <w:t>s the</w:t>
      </w:r>
      <w:r>
        <w:t xml:space="preserve"> efficienc</w:t>
      </w:r>
      <w:r w:rsidR="003B7672">
        <w:t>y</w:t>
      </w:r>
      <w:r>
        <w:t xml:space="preserve"> for i</w:t>
      </w:r>
      <w:r w:rsidRPr="00874DAD">
        <w:t xml:space="preserve">nterconversion between photon and electron. For example, </w:t>
      </w:r>
      <w:r>
        <w:t xml:space="preserve">internal </w:t>
      </w:r>
      <w:r w:rsidRPr="00874DAD">
        <w:t xml:space="preserve">quantum yields of electrofluorescence </w:t>
      </w:r>
      <w:r>
        <w:t xml:space="preserve">devices </w:t>
      </w:r>
      <w:r w:rsidRPr="00874DAD">
        <w:t xml:space="preserve">are limited by 25% in the absence of processes that aid intersystem crossing. Charge collection efficiencies in photovoltaic devices are also intimately associated with spin distributions. Efforts have, thus, been paid to develop the materials that overcome the spin selection rule. </w:t>
      </w:r>
      <w:r>
        <w:t>Notable examples include</w:t>
      </w:r>
      <w:r w:rsidRPr="00874DAD">
        <w:t xml:space="preserve"> </w:t>
      </w:r>
      <w:r>
        <w:t>o</w:t>
      </w:r>
      <w:r w:rsidRPr="00874DAD">
        <w:t>rganometallic complexes of Ir(III) or Pt(II)</w:t>
      </w:r>
      <w:r>
        <w:t xml:space="preserve"> which</w:t>
      </w:r>
      <w:r w:rsidRPr="00874DAD">
        <w:t xml:space="preserve"> exhibit strong spin</w:t>
      </w:r>
      <w:r w:rsidRPr="00874DAD">
        <w:sym w:font="Symbol" w:char="F02D"/>
      </w:r>
      <w:r>
        <w:t>orbit coupling</w:t>
      </w:r>
      <w:r w:rsidRPr="00874DAD">
        <w:t>. Of recent interest are dipolar organic molecules and coordination compounds of Cu(I). These compounds possess charge-separated excited states with small exchange energies. Th</w:t>
      </w:r>
      <w:r>
        <w:t>is electronic structure</w:t>
      </w:r>
      <w:r w:rsidRPr="00874DAD">
        <w:t xml:space="preserve"> allows for </w:t>
      </w:r>
      <w:r>
        <w:t>thermally activated reverse intersystem crossing</w:t>
      </w:r>
      <w:r w:rsidRPr="00874DAD">
        <w:t xml:space="preserve">, leading to exciton-harvested fluorescence emission. Our group was intrigued by the key role of the excitonic spin states in electroluminescence devices. We investigated the fluorescence properties of </w:t>
      </w:r>
      <w:r w:rsidR="003B7672">
        <w:t>chromophor</w:t>
      </w:r>
      <w:r w:rsidR="008E3BED">
        <w:t>e</w:t>
      </w:r>
      <w:bookmarkStart w:id="0" w:name="_GoBack"/>
      <w:bookmarkEnd w:id="0"/>
      <w:r w:rsidR="003B7672">
        <w:t>s bearing n</w:t>
      </w:r>
      <w:r w:rsidR="003B7672">
        <w:sym w:font="Symbol" w:char="F02D"/>
      </w:r>
      <w:r w:rsidR="003B7672">
        <w:sym w:font="Symbol" w:char="F070"/>
      </w:r>
      <w:r w:rsidR="003B7672">
        <w:t xml:space="preserve">* transitions. </w:t>
      </w:r>
      <w:r w:rsidR="003B7672" w:rsidRPr="003B7672">
        <w:t xml:space="preserve">Although </w:t>
      </w:r>
      <w:r w:rsidR="003B7672">
        <w:t>n</w:t>
      </w:r>
      <w:r w:rsidR="003B7672">
        <w:sym w:font="Symbol" w:char="F02D"/>
      </w:r>
      <w:r w:rsidR="003B7672">
        <w:sym w:font="Symbol" w:char="F070"/>
      </w:r>
      <w:r w:rsidR="003B7672">
        <w:t xml:space="preserve">* </w:t>
      </w:r>
      <w:r w:rsidR="003B7672" w:rsidRPr="003B7672">
        <w:t>molecules can serve as electroluminescent materials because of the harvesting of singlet and triplet excitons through El-Sayed-rule-allowed reverse intersystem crossing, the weak fluorescence emissions of such molecules have prevented applications into devices.</w:t>
      </w:r>
      <w:r w:rsidR="003B7672">
        <w:t xml:space="preserve"> To enable systematic studies, we prepared a</w:t>
      </w:r>
      <w:r w:rsidRPr="00874DAD">
        <w:t xml:space="preserve"> series of electron-deficient coumarin compounds having aryl substituents with different band gap energies. We observed two orders of magnitude improvement in fluorescence quantum yields upon facilitating intra- and intermolecular electron transfer to the coumarins. Special focus has been paid to understand the electron-transfer processes and the molecular factors that controlled the kinetic steps. The mechanistic studies revealed that judicious control over excited-state potentials was crucial to achieving efficient fluorescence.</w:t>
      </w:r>
      <w:r>
        <w:t xml:space="preserve"> </w:t>
      </w:r>
    </w:p>
    <w:p w:rsidR="005973B9" w:rsidRPr="001F5DAE" w:rsidRDefault="00A9710C" w:rsidP="00874DAD">
      <w:pPr>
        <w:pStyle w:val="3"/>
        <w:spacing w:before="74"/>
        <w:rPr>
          <w:b w:val="0"/>
        </w:rPr>
      </w:pPr>
      <w:r w:rsidRPr="001F5DAE">
        <w:rPr>
          <w:rFonts w:ascii="Tw Cen MT" w:hAnsi="Tw Cen MT"/>
          <w:b w:val="0"/>
        </w:rPr>
        <w:br w:type="column"/>
      </w:r>
      <w:r w:rsidR="005973B9" w:rsidRPr="001F5DAE">
        <w:rPr>
          <w:color w:val="BF5A14"/>
        </w:rPr>
        <w:lastRenderedPageBreak/>
        <w:t xml:space="preserve">Recent Publications </w:t>
      </w:r>
    </w:p>
    <w:p w:rsidR="005973B9" w:rsidRPr="00DF3D71" w:rsidRDefault="00461A75" w:rsidP="00461A75">
      <w:pPr>
        <w:pStyle w:val="a4"/>
        <w:numPr>
          <w:ilvl w:val="0"/>
          <w:numId w:val="3"/>
        </w:numPr>
        <w:tabs>
          <w:tab w:val="left" w:pos="384"/>
        </w:tabs>
        <w:spacing w:line="216" w:lineRule="exact"/>
        <w:ind w:right="137"/>
        <w:rPr>
          <w:rFonts w:ascii="Tw Cen MT" w:hAnsi="Tw Cen MT"/>
          <w:sz w:val="18"/>
        </w:rPr>
      </w:pPr>
      <w:r w:rsidRPr="00461A75">
        <w:rPr>
          <w:rFonts w:ascii="Tw Cen MT" w:hAnsi="Tw Cen MT"/>
          <w:sz w:val="18"/>
        </w:rPr>
        <w:t xml:space="preserve">Jhun, B. H.; Yi, S. Y.; Jeong, D.; Cho, J.; Park, S. Y.; You, Y. “Aggregation of an n–π* Molecule Induces Fluorescence Turn-on” </w:t>
      </w:r>
      <w:r w:rsidRPr="00461A75">
        <w:rPr>
          <w:rFonts w:ascii="Tw Cen MT" w:hAnsi="Tw Cen MT"/>
          <w:i/>
          <w:sz w:val="18"/>
        </w:rPr>
        <w:t>J. Phys. Chem. C</w:t>
      </w:r>
      <w:r w:rsidRPr="00461A75">
        <w:rPr>
          <w:rFonts w:ascii="Tw Cen MT" w:hAnsi="Tw Cen MT"/>
          <w:sz w:val="18"/>
        </w:rPr>
        <w:t xml:space="preserve"> </w:t>
      </w:r>
      <w:r w:rsidRPr="00461A75">
        <w:rPr>
          <w:rFonts w:ascii="Tw Cen MT" w:hAnsi="Tw Cen MT"/>
          <w:b/>
          <w:sz w:val="18"/>
        </w:rPr>
        <w:t>2017</w:t>
      </w:r>
      <w:r w:rsidRPr="00461A75">
        <w:rPr>
          <w:rFonts w:ascii="Tw Cen MT" w:hAnsi="Tw Cen MT"/>
          <w:sz w:val="18"/>
        </w:rPr>
        <w:t xml:space="preserve">, </w:t>
      </w:r>
      <w:r w:rsidRPr="00461A75">
        <w:rPr>
          <w:rFonts w:ascii="Tw Cen MT" w:hAnsi="Tw Cen MT"/>
          <w:i/>
          <w:sz w:val="18"/>
        </w:rPr>
        <w:t>121</w:t>
      </w:r>
      <w:r>
        <w:rPr>
          <w:rFonts w:ascii="Tw Cen MT" w:hAnsi="Tw Cen MT"/>
          <w:sz w:val="18"/>
        </w:rPr>
        <w:t>, 11907–11914</w:t>
      </w:r>
      <w:r w:rsidRPr="00461A75">
        <w:rPr>
          <w:rFonts w:ascii="Tw Cen MT" w:hAnsi="Tw Cen MT"/>
          <w:sz w:val="18"/>
        </w:rPr>
        <w:t>.</w:t>
      </w:r>
    </w:p>
    <w:p w:rsidR="000A363D" w:rsidRPr="00DF3D71" w:rsidRDefault="00461A75" w:rsidP="000A363D">
      <w:pPr>
        <w:pStyle w:val="a4"/>
        <w:numPr>
          <w:ilvl w:val="0"/>
          <w:numId w:val="3"/>
        </w:numPr>
        <w:tabs>
          <w:tab w:val="left" w:pos="384"/>
        </w:tabs>
        <w:spacing w:before="92" w:line="218" w:lineRule="exact"/>
        <w:rPr>
          <w:rFonts w:ascii="Tw Cen MT" w:hAnsi="Tw Cen MT"/>
        </w:rPr>
      </w:pPr>
      <w:r w:rsidRPr="00461A75">
        <w:rPr>
          <w:rFonts w:ascii="Tw Cen MT" w:hAnsi="Tw Cen MT"/>
          <w:sz w:val="18"/>
        </w:rPr>
        <w:t xml:space="preserve">Yan, X.; Kim, J. J.; Jeong, H. S.; Moon, Y. K.; Cho, Y. K.; Ahn, S.; Jun, S. B.; Kim, H.; You, Y. “Low-Affinity Zinc Sensor Showing Fluorescence Responses with Minimal Artifacts” </w:t>
      </w:r>
      <w:r w:rsidRPr="00461A75">
        <w:rPr>
          <w:rFonts w:ascii="Tw Cen MT" w:hAnsi="Tw Cen MT"/>
          <w:i/>
          <w:sz w:val="18"/>
        </w:rPr>
        <w:t>Inorg. Chem.</w:t>
      </w:r>
      <w:r w:rsidRPr="00461A75">
        <w:rPr>
          <w:rFonts w:ascii="Tw Cen MT" w:hAnsi="Tw Cen MT"/>
          <w:sz w:val="18"/>
        </w:rPr>
        <w:t xml:space="preserve"> </w:t>
      </w:r>
      <w:r w:rsidRPr="00461A75">
        <w:rPr>
          <w:rFonts w:ascii="Tw Cen MT" w:hAnsi="Tw Cen MT"/>
          <w:b/>
          <w:sz w:val="18"/>
        </w:rPr>
        <w:t>2017</w:t>
      </w:r>
      <w:r w:rsidRPr="00461A75">
        <w:rPr>
          <w:rFonts w:ascii="Tw Cen MT" w:hAnsi="Tw Cen MT"/>
          <w:sz w:val="18"/>
        </w:rPr>
        <w:t xml:space="preserve">, </w:t>
      </w:r>
      <w:r w:rsidRPr="00461A75">
        <w:rPr>
          <w:rFonts w:ascii="Tw Cen MT" w:hAnsi="Tw Cen MT"/>
          <w:i/>
          <w:sz w:val="18"/>
        </w:rPr>
        <w:t>52</w:t>
      </w:r>
      <w:r w:rsidRPr="00461A75">
        <w:rPr>
          <w:rFonts w:ascii="Tw Cen MT" w:hAnsi="Tw Cen MT"/>
          <w:sz w:val="18"/>
        </w:rPr>
        <w:t>, 4332–4346.</w:t>
      </w:r>
    </w:p>
    <w:p w:rsidR="005973B9" w:rsidRDefault="00461A75" w:rsidP="000A363D">
      <w:pPr>
        <w:pStyle w:val="a4"/>
        <w:numPr>
          <w:ilvl w:val="0"/>
          <w:numId w:val="3"/>
        </w:numPr>
        <w:tabs>
          <w:tab w:val="left" w:pos="384"/>
        </w:tabs>
        <w:spacing w:before="92" w:line="218" w:lineRule="exact"/>
        <w:rPr>
          <w:rFonts w:ascii="Tw Cen MT" w:hAnsi="Tw Cen MT"/>
          <w:sz w:val="18"/>
        </w:rPr>
      </w:pPr>
      <w:r w:rsidRPr="00461A75">
        <w:rPr>
          <w:rFonts w:ascii="Tw Cen MT" w:hAnsi="Tw Cen MT"/>
          <w:sz w:val="18"/>
        </w:rPr>
        <w:t xml:space="preserve">Park, G.; Yi, S. Y.; Jung, J.; Cho, E. J.; Y. You “Mechanism and Applications of the Photoredox Catalytic Homocoupling of Benzyl Bromides” </w:t>
      </w:r>
      <w:r w:rsidRPr="00461A75">
        <w:rPr>
          <w:rFonts w:ascii="Tw Cen MT" w:hAnsi="Tw Cen MT"/>
          <w:i/>
          <w:sz w:val="18"/>
        </w:rPr>
        <w:t>Chem. -Eur. J</w:t>
      </w:r>
      <w:r w:rsidRPr="00461A75">
        <w:rPr>
          <w:rFonts w:ascii="Tw Cen MT" w:hAnsi="Tw Cen MT"/>
          <w:sz w:val="18"/>
        </w:rPr>
        <w:t xml:space="preserve">. </w:t>
      </w:r>
      <w:r w:rsidRPr="00461A75">
        <w:rPr>
          <w:rFonts w:ascii="Tw Cen MT" w:hAnsi="Tw Cen MT"/>
          <w:b/>
          <w:sz w:val="18"/>
        </w:rPr>
        <w:t>2016</w:t>
      </w:r>
      <w:r w:rsidRPr="00461A75">
        <w:rPr>
          <w:rFonts w:ascii="Tw Cen MT" w:hAnsi="Tw Cen MT"/>
          <w:sz w:val="18"/>
        </w:rPr>
        <w:t xml:space="preserve">, </w:t>
      </w:r>
      <w:r w:rsidRPr="00461A75">
        <w:rPr>
          <w:rFonts w:ascii="Tw Cen MT" w:hAnsi="Tw Cen MT"/>
          <w:i/>
          <w:sz w:val="18"/>
        </w:rPr>
        <w:t>49</w:t>
      </w:r>
      <w:r w:rsidRPr="00461A75">
        <w:rPr>
          <w:rFonts w:ascii="Tw Cen MT" w:hAnsi="Tw Cen MT"/>
          <w:sz w:val="18"/>
        </w:rPr>
        <w:t>, 17790</w:t>
      </w:r>
      <w:r>
        <w:rPr>
          <w:rFonts w:ascii="Tw Cen MT" w:hAnsi="Tw Cen MT"/>
          <w:sz w:val="18"/>
        </w:rPr>
        <w:t>–</w:t>
      </w:r>
      <w:r w:rsidRPr="00461A75">
        <w:rPr>
          <w:rFonts w:ascii="Tw Cen MT" w:hAnsi="Tw Cen MT"/>
          <w:sz w:val="18"/>
        </w:rPr>
        <w:t>17799.</w:t>
      </w:r>
    </w:p>
    <w:p w:rsidR="00461A75" w:rsidRDefault="00461A75" w:rsidP="000A363D">
      <w:pPr>
        <w:pStyle w:val="a4"/>
        <w:numPr>
          <w:ilvl w:val="0"/>
          <w:numId w:val="3"/>
        </w:numPr>
        <w:tabs>
          <w:tab w:val="left" w:pos="384"/>
        </w:tabs>
        <w:spacing w:before="92" w:line="218" w:lineRule="exact"/>
        <w:rPr>
          <w:rFonts w:ascii="Tw Cen MT" w:hAnsi="Tw Cen MT"/>
          <w:sz w:val="18"/>
        </w:rPr>
      </w:pPr>
      <w:r w:rsidRPr="00461A75">
        <w:rPr>
          <w:rFonts w:ascii="Tw Cen MT" w:hAnsi="Tw Cen MT"/>
          <w:sz w:val="18"/>
        </w:rPr>
        <w:t xml:space="preserve">Kim, S.; Park, G.; Cho, E. J.; You, Y. “Coreactant Strategy for the Photoredox Catalytic Generation of Trifluoromethyl Radicals under Low-Energy Photoirradiation” </w:t>
      </w:r>
      <w:r w:rsidRPr="00461A75">
        <w:rPr>
          <w:rFonts w:ascii="Tw Cen MT" w:hAnsi="Tw Cen MT"/>
          <w:i/>
          <w:sz w:val="18"/>
        </w:rPr>
        <w:t>J. Org. Chem</w:t>
      </w:r>
      <w:r w:rsidRPr="00461A75">
        <w:rPr>
          <w:rFonts w:ascii="Tw Cen MT" w:hAnsi="Tw Cen MT"/>
          <w:sz w:val="18"/>
        </w:rPr>
        <w:t xml:space="preserve">. </w:t>
      </w:r>
      <w:r w:rsidRPr="00461A75">
        <w:rPr>
          <w:rFonts w:ascii="Tw Cen MT" w:hAnsi="Tw Cen MT"/>
          <w:b/>
          <w:sz w:val="18"/>
        </w:rPr>
        <w:t>2016</w:t>
      </w:r>
      <w:r w:rsidRPr="00461A75">
        <w:rPr>
          <w:rFonts w:ascii="Tw Cen MT" w:hAnsi="Tw Cen MT"/>
          <w:sz w:val="18"/>
        </w:rPr>
        <w:t xml:space="preserve">, </w:t>
      </w:r>
      <w:r w:rsidRPr="00461A75">
        <w:rPr>
          <w:rFonts w:ascii="Tw Cen MT" w:hAnsi="Tw Cen MT"/>
          <w:i/>
          <w:sz w:val="18"/>
        </w:rPr>
        <w:t>81</w:t>
      </w:r>
      <w:r w:rsidRPr="00461A75">
        <w:rPr>
          <w:rFonts w:ascii="Tw Cen MT" w:hAnsi="Tw Cen MT"/>
          <w:sz w:val="18"/>
        </w:rPr>
        <w:t>, 7072</w:t>
      </w:r>
      <w:r>
        <w:rPr>
          <w:rFonts w:ascii="Tw Cen MT" w:hAnsi="Tw Cen MT"/>
          <w:sz w:val="18"/>
        </w:rPr>
        <w:t>–</w:t>
      </w:r>
      <w:r w:rsidRPr="00461A75">
        <w:rPr>
          <w:rFonts w:ascii="Tw Cen MT" w:hAnsi="Tw Cen MT"/>
          <w:sz w:val="18"/>
        </w:rPr>
        <w:t>7079.</w:t>
      </w:r>
    </w:p>
    <w:p w:rsidR="00461A75" w:rsidRPr="00DF3D71" w:rsidRDefault="00461A75" w:rsidP="000A363D">
      <w:pPr>
        <w:pStyle w:val="a4"/>
        <w:numPr>
          <w:ilvl w:val="0"/>
          <w:numId w:val="3"/>
        </w:numPr>
        <w:tabs>
          <w:tab w:val="left" w:pos="384"/>
        </w:tabs>
        <w:spacing w:before="92" w:line="218" w:lineRule="exact"/>
        <w:rPr>
          <w:rFonts w:ascii="Tw Cen MT" w:hAnsi="Tw Cen MT"/>
          <w:sz w:val="18"/>
        </w:rPr>
      </w:pPr>
      <w:r w:rsidRPr="00461A75">
        <w:rPr>
          <w:rFonts w:ascii="Tw Cen MT" w:hAnsi="Tw Cen MT"/>
          <w:sz w:val="18"/>
        </w:rPr>
        <w:t xml:space="preserve">Y. You “Molecular Dyad Approaches for Detection and Photosensitization of Biological Singlet Oxygen” </w:t>
      </w:r>
      <w:r w:rsidRPr="00461A75">
        <w:rPr>
          <w:rFonts w:ascii="Tw Cen MT" w:hAnsi="Tw Cen MT"/>
          <w:i/>
          <w:sz w:val="18"/>
        </w:rPr>
        <w:t xml:space="preserve">Org. Biomol. Chem. </w:t>
      </w:r>
      <w:r w:rsidRPr="00461A75">
        <w:rPr>
          <w:rFonts w:ascii="Tw Cen MT" w:hAnsi="Tw Cen MT"/>
          <w:b/>
          <w:sz w:val="18"/>
        </w:rPr>
        <w:t>2016</w:t>
      </w:r>
      <w:r w:rsidRPr="00461A75">
        <w:rPr>
          <w:rFonts w:ascii="Tw Cen MT" w:hAnsi="Tw Cen MT"/>
          <w:sz w:val="18"/>
        </w:rPr>
        <w:t xml:space="preserve">, </w:t>
      </w:r>
      <w:r w:rsidRPr="00461A75">
        <w:rPr>
          <w:rFonts w:ascii="Tw Cen MT" w:hAnsi="Tw Cen MT"/>
          <w:i/>
          <w:sz w:val="18"/>
        </w:rPr>
        <w:t>14</w:t>
      </w:r>
      <w:r w:rsidRPr="00461A75">
        <w:rPr>
          <w:rFonts w:ascii="Tw Cen MT" w:hAnsi="Tw Cen MT"/>
          <w:sz w:val="18"/>
        </w:rPr>
        <w:t>, 7131</w:t>
      </w:r>
      <w:r>
        <w:rPr>
          <w:rFonts w:ascii="Tw Cen MT" w:hAnsi="Tw Cen MT"/>
          <w:sz w:val="18"/>
        </w:rPr>
        <w:t>–</w:t>
      </w:r>
      <w:r w:rsidRPr="00461A75">
        <w:rPr>
          <w:rFonts w:ascii="Tw Cen MT" w:hAnsi="Tw Cen MT"/>
          <w:sz w:val="18"/>
        </w:rPr>
        <w:t>7135.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6929D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A363D">
        <w:rPr>
          <w:rFonts w:ascii="Arial"/>
          <w:noProof/>
          <w:color w:val="BF5A14"/>
          <w:lang w:eastAsia="ko-KR"/>
        </w:rPr>
        <w:drawing>
          <wp:inline distT="0" distB="0" distL="0" distR="0">
            <wp:extent cx="849714" cy="1132952"/>
            <wp:effectExtent l="0" t="0" r="762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증명.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9714" cy="1132952"/>
                    </a:xfrm>
                    <a:prstGeom prst="rect">
                      <a:avLst/>
                    </a:prstGeom>
                  </pic:spPr>
                </pic:pic>
              </a:graphicData>
            </a:graphic>
          </wp:inline>
        </w:drawing>
      </w:r>
    </w:p>
    <w:p w:rsidR="00AE3E37" w:rsidRDefault="00461A75" w:rsidP="00510115">
      <w:pPr>
        <w:spacing w:before="41" w:line="154" w:lineRule="exact"/>
        <w:ind w:left="213" w:right="231"/>
        <w:jc w:val="both"/>
        <w:rPr>
          <w:rFonts w:ascii="Arial"/>
          <w:sz w:val="14"/>
        </w:rPr>
      </w:pPr>
      <w:r w:rsidRPr="00461A75">
        <w:rPr>
          <w:rFonts w:ascii="Arial" w:eastAsiaTheme="minorEastAsia"/>
          <w:sz w:val="14"/>
          <w:lang w:eastAsia="ko-KR"/>
        </w:rPr>
        <w:t>Youngmin You is Associate Professor of the Division of Chemical Engineering and Materials Science at Ewha Womans University. He earned his bachelor and master degrees in Chemical Engineering from Seoul National University in 1997 and 2003, respectively. He continued graduate study in Department of Materials Science and Engineering at the same university, and obtained his Ph.D. degree in 2007. He started his independent carrier as an assistant professor at Kyung Hee University in 2013, and moved to Ewha Womans University in 2015. Prof. You focuses on the development of novel molecules and photoelectrofunctions. His current research interests include luminescent molecules for exciton harvesting and circularly polarized emission, photoredox catalysis, and photoluminescent bioprobes. He published 54 papers, including six review articles.</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461A75" w:rsidRPr="008F4F55">
          <w:rPr>
            <w:rStyle w:val="a8"/>
            <w:rFonts w:ascii="Arial"/>
            <w:sz w:val="14"/>
          </w:rPr>
          <w:t>odds2@ewha.ac.kr</w:t>
        </w:r>
      </w:hyperlink>
      <w:r w:rsidR="00461A75">
        <w:rPr>
          <w:rFonts w:ascii="Arial"/>
          <w:sz w:val="14"/>
        </w:rPr>
        <w:t xml:space="preserve"> </w:t>
      </w:r>
      <w:hyperlink r:id="rId11" w:history="1"/>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FD90C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EB6B94" w:rsidRDefault="00AE3E37">
      <w:pPr>
        <w:pStyle w:val="a3"/>
        <w:spacing w:before="3"/>
        <w:rPr>
          <w:rFonts w:ascii="Minion Pro" w:eastAsiaTheme="minorEastAsia" w:hint="eastAsia"/>
          <w:sz w:val="26"/>
          <w:lang w:eastAsia="ko-KR"/>
        </w:rPr>
      </w:pPr>
    </w:p>
    <w:sectPr w:rsidR="00AE3E37" w:rsidRPr="00EB6B9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1E8" w:rsidRDefault="007001E8">
      <w:r>
        <w:separator/>
      </w:r>
    </w:p>
  </w:endnote>
  <w:endnote w:type="continuationSeparator" w:id="0">
    <w:p w:rsidR="007001E8" w:rsidRDefault="00700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1E8" w:rsidRDefault="007001E8">
      <w:r>
        <w:separator/>
      </w:r>
    </w:p>
  </w:footnote>
  <w:footnote w:type="continuationSeparator" w:id="0">
    <w:p w:rsidR="007001E8" w:rsidRDefault="007001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301"/>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363D"/>
    <w:rsid w:val="000B14F2"/>
    <w:rsid w:val="000B1E94"/>
    <w:rsid w:val="000E254F"/>
    <w:rsid w:val="000E2911"/>
    <w:rsid w:val="001263DF"/>
    <w:rsid w:val="001321B9"/>
    <w:rsid w:val="001C5ABC"/>
    <w:rsid w:val="001C6BF4"/>
    <w:rsid w:val="001F2519"/>
    <w:rsid w:val="001F5DAE"/>
    <w:rsid w:val="00270CA3"/>
    <w:rsid w:val="00271CA9"/>
    <w:rsid w:val="00291E82"/>
    <w:rsid w:val="00292ED9"/>
    <w:rsid w:val="002B5183"/>
    <w:rsid w:val="003B7672"/>
    <w:rsid w:val="00404E5B"/>
    <w:rsid w:val="00410BEB"/>
    <w:rsid w:val="00414F7B"/>
    <w:rsid w:val="004155F8"/>
    <w:rsid w:val="004355DC"/>
    <w:rsid w:val="00443C16"/>
    <w:rsid w:val="00461A75"/>
    <w:rsid w:val="004749B4"/>
    <w:rsid w:val="00494130"/>
    <w:rsid w:val="004B3589"/>
    <w:rsid w:val="004F3523"/>
    <w:rsid w:val="00502975"/>
    <w:rsid w:val="00510115"/>
    <w:rsid w:val="00514066"/>
    <w:rsid w:val="00514BE4"/>
    <w:rsid w:val="0053112D"/>
    <w:rsid w:val="005973B9"/>
    <w:rsid w:val="005B3A56"/>
    <w:rsid w:val="005C4ADD"/>
    <w:rsid w:val="006060CE"/>
    <w:rsid w:val="0063497F"/>
    <w:rsid w:val="00671D25"/>
    <w:rsid w:val="007001E8"/>
    <w:rsid w:val="00850750"/>
    <w:rsid w:val="008649B1"/>
    <w:rsid w:val="00873DF0"/>
    <w:rsid w:val="00874DAD"/>
    <w:rsid w:val="008756E6"/>
    <w:rsid w:val="008E3BED"/>
    <w:rsid w:val="00942C6C"/>
    <w:rsid w:val="00946661"/>
    <w:rsid w:val="009805AE"/>
    <w:rsid w:val="009B2D44"/>
    <w:rsid w:val="009C7C9A"/>
    <w:rsid w:val="00A07E82"/>
    <w:rsid w:val="00A5509F"/>
    <w:rsid w:val="00A9710C"/>
    <w:rsid w:val="00AB3040"/>
    <w:rsid w:val="00AE3E37"/>
    <w:rsid w:val="00B15B49"/>
    <w:rsid w:val="00B21A57"/>
    <w:rsid w:val="00C33602"/>
    <w:rsid w:val="00CD6F55"/>
    <w:rsid w:val="00DE3104"/>
    <w:rsid w:val="00DF3D71"/>
    <w:rsid w:val="00E0566A"/>
    <w:rsid w:val="00E86C54"/>
    <w:rsid w:val="00EA5B8F"/>
    <w:rsid w:val="00EB6B94"/>
    <w:rsid w:val="00EC7E51"/>
    <w:rsid w:val="00ED0606"/>
    <w:rsid w:val="00F04D7B"/>
    <w:rsid w:val="00F0553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42809D-8AA2-4B4A-B929-268700C3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Mention">
    <w:name w:val="Mention"/>
    <w:basedOn w:val="a0"/>
    <w:uiPriority w:val="99"/>
    <w:semiHidden/>
    <w:unhideWhenUsed/>
    <w:rsid w:val="00510115"/>
    <w:rPr>
      <w:color w:val="2B579A"/>
      <w:shd w:val="clear" w:color="auto" w:fill="E6E6E6"/>
    </w:rPr>
  </w:style>
  <w:style w:type="character" w:styleId="a9">
    <w:name w:val="Emphasis"/>
    <w:basedOn w:val="a0"/>
    <w:uiPriority w:val="20"/>
    <w:qFormat/>
    <w:rsid w:val="009C7C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9409805">
      <w:bodyDiv w:val="1"/>
      <w:marLeft w:val="0"/>
      <w:marRight w:val="0"/>
      <w:marTop w:val="0"/>
      <w:marBottom w:val="0"/>
      <w:divBdr>
        <w:top w:val="none" w:sz="0" w:space="0" w:color="auto"/>
        <w:left w:val="none" w:sz="0" w:space="0" w:color="auto"/>
        <w:bottom w:val="none" w:sz="0" w:space="0" w:color="auto"/>
        <w:right w:val="none" w:sz="0" w:space="0" w:color="auto"/>
      </w:divBdr>
      <w:divsChild>
        <w:div w:id="31077962">
          <w:marLeft w:val="446"/>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2294890">
      <w:bodyDiv w:val="1"/>
      <w:marLeft w:val="0"/>
      <w:marRight w:val="0"/>
      <w:marTop w:val="0"/>
      <w:marBottom w:val="0"/>
      <w:divBdr>
        <w:top w:val="none" w:sz="0" w:space="0" w:color="auto"/>
        <w:left w:val="none" w:sz="0" w:space="0" w:color="auto"/>
        <w:bottom w:val="none" w:sz="0" w:space="0" w:color="auto"/>
        <w:right w:val="none" w:sz="0" w:space="0" w:color="auto"/>
      </w:divBdr>
      <w:divsChild>
        <w:div w:id="793906050">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park94@ewhain.net" TargetMode="External"/><Relationship Id="rId5" Type="http://schemas.openxmlformats.org/officeDocument/2006/relationships/footnotes" Target="footnotes.xml"/><Relationship Id="rId10" Type="http://schemas.openxmlformats.org/officeDocument/2006/relationships/hyperlink" Target="mailto:odds2@ewha.ac.k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615</Words>
  <Characters>3510</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odds</cp:lastModifiedBy>
  <cp:revision>5</cp:revision>
  <cp:lastPrinted>2017-06-15T11:15:00Z</cp:lastPrinted>
  <dcterms:created xsi:type="dcterms:W3CDTF">2017-06-15T10:55:00Z</dcterms:created>
  <dcterms:modified xsi:type="dcterms:W3CDTF">2017-06-15T11:34:00Z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