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43310" w:rsidP="002F3E09">
      <w:pPr>
        <w:pStyle w:val="Heading1"/>
        <w:spacing w:before="170"/>
        <w:ind w:left="0"/>
      </w:pPr>
      <w:r>
        <w:rPr>
          <w:color w:val="337AB7"/>
        </w:rPr>
        <w:t xml:space="preserve">Modeling of Yb: YAG Inoslab Laser Amplifier </w:t>
      </w:r>
    </w:p>
    <w:p w:rsidR="003E0C1E" w:rsidRDefault="00A43310" w:rsidP="003E0C1E">
      <w:pPr>
        <w:pStyle w:val="BodyText"/>
        <w:spacing w:before="73" w:line="198" w:lineRule="exact"/>
        <w:ind w:left="100" w:right="5987"/>
        <w:rPr>
          <w:rFonts w:ascii="Arial"/>
        </w:rPr>
      </w:pPr>
      <w:r>
        <w:rPr>
          <w:rFonts w:ascii="Arial"/>
        </w:rPr>
        <w:t>Mohanna Najafi, INLC</w:t>
      </w:r>
      <w:r w:rsidR="003E0C1E">
        <w:rPr>
          <w:rFonts w:ascii="Arial"/>
        </w:rPr>
        <w:t>, IRI</w:t>
      </w:r>
    </w:p>
    <w:p w:rsidR="003E0C1E" w:rsidRDefault="00A43310" w:rsidP="003E0C1E">
      <w:pPr>
        <w:pStyle w:val="BodyText"/>
        <w:spacing w:before="73" w:line="198" w:lineRule="exact"/>
        <w:ind w:left="100" w:right="5987"/>
        <w:rPr>
          <w:rFonts w:ascii="Arial"/>
        </w:rPr>
      </w:pPr>
      <w:r>
        <w:rPr>
          <w:rFonts w:ascii="Arial"/>
        </w:rPr>
        <w:t xml:space="preserve"> Arezue Sepehr, INLC,</w:t>
      </w:r>
      <w:r w:rsidR="003E0C1E">
        <w:rPr>
          <w:rFonts w:ascii="Arial"/>
        </w:rPr>
        <w:t xml:space="preserve"> IRI</w:t>
      </w:r>
    </w:p>
    <w:p w:rsidR="003E0C1E" w:rsidRDefault="005973B9" w:rsidP="003E0C1E">
      <w:pPr>
        <w:pStyle w:val="BodyText"/>
        <w:spacing w:before="73" w:line="198" w:lineRule="exact"/>
        <w:ind w:left="100" w:right="5987"/>
        <w:rPr>
          <w:rFonts w:ascii="Arial"/>
        </w:rPr>
      </w:pPr>
      <w:r>
        <w:rPr>
          <w:rFonts w:ascii="Arial"/>
        </w:rPr>
        <w:t xml:space="preserve"> </w:t>
      </w:r>
      <w:r w:rsidR="003E0C1E">
        <w:rPr>
          <w:rFonts w:ascii="Arial"/>
        </w:rPr>
        <w:t>Ehsan Tanhaei,</w:t>
      </w:r>
      <w:r w:rsidR="003E0C1E" w:rsidRPr="003E0C1E">
        <w:rPr>
          <w:rFonts w:ascii="Arial"/>
        </w:rPr>
        <w:t xml:space="preserve"> </w:t>
      </w:r>
      <w:r w:rsidR="003E0C1E">
        <w:rPr>
          <w:rFonts w:ascii="Arial"/>
        </w:rPr>
        <w:t xml:space="preserve">INLC, IRI </w:t>
      </w:r>
    </w:p>
    <w:p w:rsidR="003E0C1E" w:rsidRDefault="003E0C1E" w:rsidP="003E0C1E">
      <w:pPr>
        <w:pStyle w:val="BodyText"/>
        <w:spacing w:before="73" w:line="198" w:lineRule="exact"/>
        <w:ind w:left="100" w:right="5987"/>
        <w:rPr>
          <w:rFonts w:ascii="Arial"/>
        </w:rPr>
      </w:pPr>
      <w:r>
        <w:rPr>
          <w:rFonts w:ascii="Arial"/>
        </w:rPr>
        <w:t xml:space="preserve">Mohammad Mahdi Majid of, INLC, IRI </w:t>
      </w:r>
    </w:p>
    <w:p w:rsidR="005973B9" w:rsidRDefault="003E0C1E" w:rsidP="003E0C1E">
      <w:pPr>
        <w:pStyle w:val="BodyText"/>
        <w:spacing w:before="73" w:line="198" w:lineRule="exact"/>
        <w:ind w:left="100" w:right="5987"/>
        <w:rPr>
          <w:rFonts w:ascii="Arial"/>
        </w:rPr>
      </w:pPr>
      <w:r>
        <w:rPr>
          <w:rFonts w:ascii="Arial"/>
        </w:rPr>
        <w:t>Seyedhasan Nabavi, INLC, IRI</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700D42">
      <w:pPr>
        <w:pStyle w:val="Heading3"/>
        <w:spacing w:before="147"/>
        <w:jc w:val="both"/>
      </w:pPr>
      <w:r>
        <w:rPr>
          <w:color w:val="BF5A14"/>
        </w:rPr>
        <w:lastRenderedPageBreak/>
        <w:t>Abstract</w:t>
      </w:r>
      <w:r w:rsidR="00404E5B">
        <w:rPr>
          <w:color w:val="BF5A14"/>
        </w:rPr>
        <w:t xml:space="preserve"> </w:t>
      </w:r>
    </w:p>
    <w:p w:rsidR="006B4F20" w:rsidRDefault="006B4F20" w:rsidP="0012319B">
      <w:pPr>
        <w:pStyle w:val="Heading3"/>
        <w:spacing w:before="74"/>
        <w:jc w:val="both"/>
        <w:rPr>
          <w:rFonts w:ascii="Tw Cen MT" w:eastAsia="Tw Cen MT" w:hAnsi="Tw Cen MT" w:cs="Tw Cen MT"/>
          <w:b w:val="0"/>
          <w:bCs w:val="0"/>
          <w:sz w:val="18"/>
          <w:szCs w:val="18"/>
        </w:rPr>
      </w:pPr>
      <w:r w:rsidRPr="006B4F20">
        <w:rPr>
          <w:rFonts w:ascii="Tw Cen MT" w:eastAsia="Tw Cen MT" w:hAnsi="Tw Cen MT" w:cs="Tw Cen MT"/>
          <w:b w:val="0"/>
          <w:bCs w:val="0"/>
          <w:sz w:val="18"/>
          <w:szCs w:val="18"/>
        </w:rPr>
        <w:t>Investigation of multipass</w:t>
      </w:r>
      <w:r>
        <w:rPr>
          <w:rFonts w:ascii="Tw Cen MT" w:eastAsia="Tw Cen MT" w:hAnsi="Tw Cen MT" w:cs="Tw Cen MT"/>
          <w:b w:val="0"/>
          <w:bCs w:val="0"/>
          <w:sz w:val="18"/>
          <w:szCs w:val="18"/>
        </w:rPr>
        <w:t xml:space="preserve"> </w:t>
      </w:r>
      <w:r w:rsidRPr="006B4F20">
        <w:rPr>
          <w:rFonts w:ascii="Tw Cen MT" w:eastAsia="Tw Cen MT" w:hAnsi="Tw Cen MT" w:cs="Tw Cen MT"/>
          <w:b w:val="0"/>
          <w:bCs w:val="0"/>
          <w:sz w:val="18"/>
          <w:szCs w:val="18"/>
        </w:rPr>
        <w:t>Yb:YAG</w:t>
      </w:r>
      <w:r>
        <w:rPr>
          <w:rFonts w:ascii="Tw Cen MT" w:eastAsia="Tw Cen MT" w:hAnsi="Tw Cen MT" w:cs="Tw Cen MT"/>
          <w:b w:val="0"/>
          <w:bCs w:val="0"/>
          <w:sz w:val="18"/>
          <w:szCs w:val="18"/>
        </w:rPr>
        <w:t xml:space="preserve"> </w:t>
      </w:r>
      <w:r w:rsidRPr="006B4F20">
        <w:rPr>
          <w:rFonts w:ascii="Tw Cen MT" w:eastAsia="Tw Cen MT" w:hAnsi="Tw Cen MT" w:cs="Tw Cen MT"/>
          <w:b w:val="0"/>
          <w:bCs w:val="0"/>
          <w:sz w:val="18"/>
          <w:szCs w:val="18"/>
        </w:rPr>
        <w:t xml:space="preserve">Innoslab amplifier has been presented In this paper. An Innoslab amplifier consists of a longitudinally, partially pumped slab crystal. Due to this structure high pump intensity as well as a high quality beam profile obtains from uniform pumped volume. Owing </w:t>
      </w:r>
      <w:r>
        <w:rPr>
          <w:rFonts w:ascii="Tw Cen MT" w:eastAsia="Tw Cen MT" w:hAnsi="Tw Cen MT" w:cs="Tw Cen MT"/>
          <w:b w:val="0"/>
          <w:bCs w:val="0"/>
          <w:sz w:val="18"/>
          <w:szCs w:val="18"/>
        </w:rPr>
        <w:t xml:space="preserve">to </w:t>
      </w:r>
      <w:r w:rsidRPr="006B4F20">
        <w:rPr>
          <w:rFonts w:ascii="Tw Cen MT" w:eastAsia="Tw Cen MT" w:hAnsi="Tw Cen MT" w:cs="Tw Cen MT"/>
          <w:b w:val="0"/>
          <w:bCs w:val="0"/>
          <w:sz w:val="18"/>
          <w:szCs w:val="18"/>
        </w:rPr>
        <w:t>decrease</w:t>
      </w:r>
      <w:r>
        <w:rPr>
          <w:rFonts w:ascii="Tw Cen MT" w:eastAsia="Tw Cen MT" w:hAnsi="Tw Cen MT" w:cs="Tw Cen MT"/>
          <w:b w:val="0"/>
          <w:bCs w:val="0"/>
          <w:sz w:val="18"/>
          <w:szCs w:val="18"/>
        </w:rPr>
        <w:t xml:space="preserve"> the gain medium doping level a crystal with larger scale could be utilized. This leads to increase the single pass absorption </w:t>
      </w:r>
      <w:r w:rsidR="008E0193">
        <w:rPr>
          <w:rFonts w:ascii="Tw Cen MT" w:eastAsia="Tw Cen MT" w:hAnsi="Tw Cen MT" w:cs="Tw Cen MT"/>
          <w:b w:val="0"/>
          <w:bCs w:val="0"/>
          <w:sz w:val="18"/>
          <w:szCs w:val="18"/>
        </w:rPr>
        <w:t>besides outstanding thermal management due to vast cooling surfaces in both faces.</w:t>
      </w:r>
    </w:p>
    <w:p w:rsidR="008E0193" w:rsidRDefault="008E0193" w:rsidP="0012319B">
      <w:pPr>
        <w:pStyle w:val="Heading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In this paper</w:t>
      </w:r>
      <w:r w:rsidR="006B4F20" w:rsidRPr="006B4F20">
        <w:rPr>
          <w:rFonts w:ascii="Tw Cen MT" w:eastAsia="Tw Cen MT" w:hAnsi="Tw Cen MT" w:cs="Tw Cen MT"/>
          <w:b w:val="0"/>
          <w:bCs w:val="0"/>
          <w:sz w:val="18"/>
          <w:szCs w:val="18"/>
        </w:rPr>
        <w:t xml:space="preserve"> </w:t>
      </w:r>
      <w:r>
        <w:rPr>
          <w:rFonts w:ascii="Tw Cen MT" w:eastAsia="Tw Cen MT" w:hAnsi="Tw Cen MT" w:cs="Tw Cen MT"/>
          <w:b w:val="0"/>
          <w:bCs w:val="0"/>
          <w:sz w:val="18"/>
          <w:szCs w:val="18"/>
        </w:rPr>
        <w:t>t</w:t>
      </w:r>
      <w:r w:rsidR="006B4F20" w:rsidRPr="006B4F20">
        <w:rPr>
          <w:rFonts w:ascii="Tw Cen MT" w:eastAsia="Tw Cen MT" w:hAnsi="Tw Cen MT" w:cs="Tw Cen MT"/>
          <w:b w:val="0"/>
          <w:bCs w:val="0"/>
          <w:sz w:val="18"/>
          <w:szCs w:val="18"/>
        </w:rPr>
        <w:t>hermal effect analyses and slab temperature distribution are defined by FEA method in the LASCAD commercial software.</w:t>
      </w:r>
      <w:r>
        <w:rPr>
          <w:rFonts w:ascii="Tw Cen MT" w:eastAsia="Tw Cen MT" w:hAnsi="Tw Cen MT" w:cs="Tw Cen MT"/>
          <w:b w:val="0"/>
          <w:bCs w:val="0"/>
          <w:sz w:val="18"/>
          <w:szCs w:val="18"/>
        </w:rPr>
        <w:t xml:space="preserve"> </w:t>
      </w:r>
      <w:r w:rsidRPr="006B4F20">
        <w:rPr>
          <w:rFonts w:ascii="Tw Cen MT" w:eastAsia="Tw Cen MT" w:hAnsi="Tw Cen MT" w:cs="Tw Cen MT"/>
          <w:b w:val="0"/>
          <w:bCs w:val="0"/>
          <w:sz w:val="18"/>
          <w:szCs w:val="18"/>
        </w:rPr>
        <w:t>Innoslab</w:t>
      </w:r>
      <w:r>
        <w:rPr>
          <w:rFonts w:ascii="Tw Cen MT" w:eastAsia="Tw Cen MT" w:hAnsi="Tw Cen MT" w:cs="Tw Cen MT"/>
          <w:b w:val="0"/>
          <w:bCs w:val="0"/>
          <w:sz w:val="18"/>
          <w:szCs w:val="18"/>
        </w:rPr>
        <w:t xml:space="preserve"> pumping architecture provides a homogeneous pump volume in </w:t>
      </w:r>
      <w:r w:rsidRPr="006B4F20">
        <w:rPr>
          <w:rFonts w:ascii="Tw Cen MT" w:eastAsia="Tw Cen MT" w:hAnsi="Tw Cen MT" w:cs="Tw Cen MT"/>
          <w:b w:val="0"/>
          <w:bCs w:val="0"/>
          <w:sz w:val="18"/>
          <w:szCs w:val="18"/>
        </w:rPr>
        <w:t>Yb:YAG</w:t>
      </w:r>
      <w:r>
        <w:rPr>
          <w:rFonts w:ascii="Tw Cen MT" w:eastAsia="Tw Cen MT" w:hAnsi="Tw Cen MT" w:cs="Tw Cen MT"/>
          <w:b w:val="0"/>
          <w:bCs w:val="0"/>
          <w:sz w:val="18"/>
          <w:szCs w:val="18"/>
        </w:rPr>
        <w:t xml:space="preserve"> crystal which results one dimensional heat flow. Cylindrical thermal lens and stress distribution is determined by solving heat equation regarding mentioned boundary condition.</w:t>
      </w:r>
    </w:p>
    <w:p w:rsidR="00E01F23" w:rsidRDefault="006B4F20" w:rsidP="0012319B">
      <w:pPr>
        <w:pStyle w:val="Heading3"/>
        <w:spacing w:before="74"/>
        <w:jc w:val="both"/>
        <w:rPr>
          <w:b w:val="0"/>
        </w:rPr>
      </w:pPr>
      <w:r w:rsidRPr="006B4F20">
        <w:rPr>
          <w:rFonts w:ascii="Tw Cen MT" w:eastAsia="Tw Cen MT" w:hAnsi="Tw Cen MT" w:cs="Tw Cen MT"/>
          <w:b w:val="0"/>
          <w:bCs w:val="0"/>
          <w:sz w:val="18"/>
          <w:szCs w:val="18"/>
        </w:rPr>
        <w:t xml:space="preserve"> Moreover </w:t>
      </w:r>
      <w:r w:rsidR="00E01F23">
        <w:rPr>
          <w:rFonts w:ascii="Tw Cen MT" w:eastAsia="Tw Cen MT" w:hAnsi="Tw Cen MT" w:cs="Tw Cen MT"/>
          <w:b w:val="0"/>
          <w:bCs w:val="0"/>
          <w:sz w:val="18"/>
          <w:szCs w:val="18"/>
        </w:rPr>
        <w:t>spatial rate equations</w:t>
      </w:r>
      <w:r w:rsidR="008E0193">
        <w:rPr>
          <w:rFonts w:ascii="Tw Cen MT" w:eastAsia="Tw Cen MT" w:hAnsi="Tw Cen MT" w:cs="Tw Cen MT"/>
          <w:b w:val="0"/>
          <w:bCs w:val="0"/>
          <w:sz w:val="18"/>
          <w:szCs w:val="18"/>
        </w:rPr>
        <w:t xml:space="preserve"> along main axis </w:t>
      </w:r>
      <w:r w:rsidR="00E01F23">
        <w:rPr>
          <w:rFonts w:ascii="Tw Cen MT" w:eastAsia="Tw Cen MT" w:hAnsi="Tw Cen MT" w:cs="Tw Cen MT"/>
          <w:b w:val="0"/>
          <w:bCs w:val="0"/>
          <w:sz w:val="18"/>
          <w:szCs w:val="18"/>
        </w:rPr>
        <w:t>are</w:t>
      </w:r>
      <w:r w:rsidR="008E0193">
        <w:rPr>
          <w:rFonts w:ascii="Tw Cen MT" w:eastAsia="Tw Cen MT" w:hAnsi="Tw Cen MT" w:cs="Tw Cen MT"/>
          <w:b w:val="0"/>
          <w:bCs w:val="0"/>
          <w:sz w:val="18"/>
          <w:szCs w:val="18"/>
        </w:rPr>
        <w:t xml:space="preserve"> solved for </w:t>
      </w:r>
      <w:r w:rsidR="00E01F23">
        <w:rPr>
          <w:rFonts w:ascii="Tw Cen MT" w:eastAsia="Tw Cen MT" w:hAnsi="Tw Cen MT" w:cs="Tw Cen MT"/>
          <w:b w:val="0"/>
          <w:bCs w:val="0"/>
          <w:sz w:val="18"/>
          <w:szCs w:val="18"/>
        </w:rPr>
        <w:t xml:space="preserve">contra-propagating pumping </w:t>
      </w:r>
      <w:r w:rsidR="008E0193">
        <w:rPr>
          <w:rFonts w:ascii="Tw Cen MT" w:eastAsia="Tw Cen MT" w:hAnsi="Tw Cen MT" w:cs="Tw Cen MT"/>
          <w:b w:val="0"/>
          <w:bCs w:val="0"/>
          <w:sz w:val="18"/>
          <w:szCs w:val="18"/>
        </w:rPr>
        <w:t xml:space="preserve">and one pass laser through amplified medium. </w:t>
      </w:r>
      <w:r w:rsidR="00E01F23">
        <w:rPr>
          <w:rFonts w:ascii="Tw Cen MT" w:eastAsia="Tw Cen MT" w:hAnsi="Tw Cen MT" w:cs="Tw Cen MT"/>
          <w:b w:val="0"/>
          <w:bCs w:val="0"/>
          <w:sz w:val="18"/>
          <w:szCs w:val="18"/>
        </w:rPr>
        <w:t>Therefore</w:t>
      </w:r>
      <w:r w:rsidR="008E0193">
        <w:rPr>
          <w:rFonts w:ascii="Tw Cen MT" w:eastAsia="Tw Cen MT" w:hAnsi="Tw Cen MT" w:cs="Tw Cen MT"/>
          <w:b w:val="0"/>
          <w:bCs w:val="0"/>
          <w:sz w:val="18"/>
          <w:szCs w:val="18"/>
        </w:rPr>
        <w:t xml:space="preserve"> a</w:t>
      </w:r>
      <w:r w:rsidR="00E01F23">
        <w:rPr>
          <w:rFonts w:ascii="Tw Cen MT" w:eastAsia="Tw Cen MT" w:hAnsi="Tw Cen MT" w:cs="Tw Cen MT"/>
          <w:b w:val="0"/>
          <w:bCs w:val="0"/>
          <w:sz w:val="18"/>
          <w:szCs w:val="18"/>
        </w:rPr>
        <w:t xml:space="preserve"> couple of laser features such as gain and absorption coefficient distribution and absorbed </w:t>
      </w:r>
      <w:r w:rsidRPr="006B4F20">
        <w:rPr>
          <w:rFonts w:ascii="Tw Cen MT" w:eastAsia="Tw Cen MT" w:hAnsi="Tw Cen MT" w:cs="Tw Cen MT"/>
          <w:b w:val="0"/>
          <w:bCs w:val="0"/>
          <w:sz w:val="18"/>
          <w:szCs w:val="18"/>
        </w:rPr>
        <w:t xml:space="preserve">power </w:t>
      </w:r>
      <w:r w:rsidR="00E01F23">
        <w:rPr>
          <w:rFonts w:ascii="Tw Cen MT" w:eastAsia="Tw Cen MT" w:hAnsi="Tw Cen MT" w:cs="Tw Cen MT"/>
          <w:b w:val="0"/>
          <w:bCs w:val="0"/>
          <w:sz w:val="18"/>
          <w:szCs w:val="18"/>
        </w:rPr>
        <w:t xml:space="preserve">distribution could be precisely calculated. Amplified output power graph Vs </w:t>
      </w:r>
      <w:r w:rsidRPr="006B4F20">
        <w:rPr>
          <w:rFonts w:ascii="Tw Cen MT" w:eastAsia="Tw Cen MT" w:hAnsi="Tw Cen MT" w:cs="Tw Cen MT"/>
          <w:b w:val="0"/>
          <w:bCs w:val="0"/>
          <w:sz w:val="18"/>
          <w:szCs w:val="18"/>
        </w:rPr>
        <w:t xml:space="preserve">pump power </w:t>
      </w:r>
      <w:r w:rsidR="00E01F23">
        <w:rPr>
          <w:rFonts w:ascii="Tw Cen MT" w:eastAsia="Tw Cen MT" w:hAnsi="Tw Cen MT" w:cs="Tw Cen MT"/>
          <w:b w:val="0"/>
          <w:bCs w:val="0"/>
          <w:sz w:val="18"/>
          <w:szCs w:val="18"/>
        </w:rPr>
        <w:t xml:space="preserve">in both edges and regarding </w:t>
      </w:r>
      <w:r w:rsidRPr="006B4F20">
        <w:rPr>
          <w:rFonts w:ascii="Tw Cen MT" w:eastAsia="Tw Cen MT" w:hAnsi="Tw Cen MT" w:cs="Tw Cen MT"/>
          <w:b w:val="0"/>
          <w:bCs w:val="0"/>
          <w:sz w:val="18"/>
          <w:szCs w:val="18"/>
        </w:rPr>
        <w:t>various doping levels</w:t>
      </w:r>
      <w:r w:rsidR="00E01F23">
        <w:rPr>
          <w:rFonts w:ascii="Tw Cen MT" w:eastAsia="Tw Cen MT" w:hAnsi="Tw Cen MT" w:cs="Tw Cen MT"/>
          <w:b w:val="0"/>
          <w:bCs w:val="0"/>
          <w:sz w:val="18"/>
          <w:szCs w:val="18"/>
        </w:rPr>
        <w:t xml:space="preserve"> is depicted in fig. 1.</w:t>
      </w:r>
    </w:p>
    <w:p w:rsidR="00AE3E37" w:rsidRPr="008E0193" w:rsidRDefault="00A9710C" w:rsidP="00E01F23">
      <w:pPr>
        <w:pStyle w:val="Heading3"/>
        <w:spacing w:before="74"/>
        <w:rPr>
          <w:rFonts w:ascii="Tw Cen MT" w:eastAsia="Tw Cen MT" w:hAnsi="Tw Cen MT" w:cs="Tw Cen MT"/>
          <w:b w:val="0"/>
          <w:bCs w:val="0"/>
          <w:sz w:val="18"/>
          <w:szCs w:val="18"/>
        </w:rPr>
      </w:pPr>
      <w:r>
        <w:rPr>
          <w:b w:val="0"/>
        </w:rPr>
        <w:br w:type="column"/>
      </w:r>
      <w:r>
        <w:rPr>
          <w:color w:val="BF5A14"/>
        </w:rPr>
        <w:lastRenderedPageBreak/>
        <w:t>Image</w:t>
      </w:r>
    </w:p>
    <w:p w:rsidR="00AE3E37" w:rsidRDefault="00C37DDB">
      <w:pPr>
        <w:pStyle w:val="BodyText"/>
        <w:spacing w:before="2"/>
        <w:rPr>
          <w:rFonts w:ascii="Arial"/>
          <w:b/>
          <w:sz w:val="16"/>
        </w:rPr>
      </w:pPr>
      <w:r w:rsidRPr="00C37DDB">
        <w:rPr>
          <w:rFonts w:ascii="Arial"/>
          <w:b/>
          <w:noProof/>
          <w:sz w:val="16"/>
        </w:rPr>
        <w:drawing>
          <wp:inline distT="0" distB="0" distL="0" distR="0">
            <wp:extent cx="2611395" cy="1707245"/>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67" t="1" r="2659" b="887"/>
                    <a:stretch/>
                  </pic:blipFill>
                  <pic:spPr bwMode="auto">
                    <a:xfrm>
                      <a:off x="0" y="0"/>
                      <a:ext cx="2646080" cy="172992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A3C09" w:rsidRPr="00EA3C09" w:rsidRDefault="00EA3C09" w:rsidP="00EA3C09">
      <w:pPr>
        <w:pStyle w:val="References"/>
        <w:rPr>
          <w:rFonts w:eastAsia="Tw Cen MT"/>
        </w:rPr>
      </w:pPr>
      <w:r w:rsidRPr="00EA3C09">
        <w:rPr>
          <w:rFonts w:eastAsia="Tw Cen MT"/>
        </w:rPr>
        <w:t>P. Russbueldt,D. Hoffmann, M. Hofer, et al,”Innoslab Amplifiers”,Quantum Elec. , Vol.21, No. 1, pp. 966-971, 2015.</w:t>
      </w:r>
    </w:p>
    <w:p w:rsidR="00EA3C09" w:rsidRPr="00E84BAB" w:rsidRDefault="00EA3C09" w:rsidP="00EA3C09">
      <w:pPr>
        <w:pStyle w:val="References"/>
        <w:numPr>
          <w:ilvl w:val="0"/>
          <w:numId w:val="0"/>
        </w:numPr>
        <w:ind w:left="357"/>
        <w:rPr>
          <w:rFonts w:eastAsia="Tw Cen MT"/>
        </w:rPr>
      </w:pPr>
    </w:p>
    <w:p w:rsidR="00EA3C09" w:rsidRDefault="00EA3C09" w:rsidP="00EA3C09">
      <w:pPr>
        <w:pStyle w:val="References"/>
        <w:rPr>
          <w:rFonts w:ascii="Calibri" w:eastAsia="Tw Cen MT" w:hAnsi="Calibri" w:cs="Tw Cen MT"/>
          <w:sz w:val="18"/>
          <w:szCs w:val="18"/>
          <w:lang w:bidi="ar-SA"/>
        </w:rPr>
      </w:pPr>
      <w:r w:rsidRPr="00E84BAB">
        <w:rPr>
          <w:rFonts w:ascii="Calibri" w:eastAsia="Tw Cen MT" w:hAnsi="Calibri" w:cs="Tw Cen MT"/>
          <w:sz w:val="18"/>
          <w:szCs w:val="18"/>
          <w:lang w:bidi="ar-SA"/>
        </w:rPr>
        <w:t>P. Russbueldt, T. Mans, G.Rotarius, et al, “400 W Yb:YAGInnoslabfs-amplifier”, Optics Express, Vol.17, No. 15, pp. 12230-12245, 2009.</w:t>
      </w:r>
    </w:p>
    <w:p w:rsidR="00EA3C09" w:rsidRDefault="00EA3C09" w:rsidP="00EA3C09">
      <w:pPr>
        <w:pStyle w:val="ListParagraph"/>
        <w:rPr>
          <w:rFonts w:eastAsia="Tw Cen MT" w:cs="Tw Cen MT"/>
          <w:sz w:val="18"/>
          <w:szCs w:val="18"/>
        </w:rPr>
      </w:pPr>
    </w:p>
    <w:p w:rsidR="0008064B" w:rsidRDefault="00EA3C09" w:rsidP="00EA3C09">
      <w:pPr>
        <w:pStyle w:val="References"/>
        <w:rPr>
          <w:rFonts w:ascii="Calibri" w:eastAsia="Tw Cen MT" w:hAnsi="Calibri"/>
          <w:lang w:bidi="ar-SA"/>
        </w:rPr>
      </w:pPr>
      <w:r w:rsidRPr="00E84BAB">
        <w:rPr>
          <w:rFonts w:ascii="Calibri" w:eastAsia="Tw Cen MT" w:hAnsi="Calibri"/>
          <w:lang w:bidi="ar-SA"/>
        </w:rPr>
        <w:t>P. Russbueldt,</w:t>
      </w:r>
      <w:r w:rsidRPr="00DB1993">
        <w:rPr>
          <w:rFonts w:eastAsia="Tw Cen MT"/>
        </w:rPr>
        <w:t xml:space="preserve"> </w:t>
      </w:r>
      <w:r w:rsidRPr="00E84BAB">
        <w:rPr>
          <w:rFonts w:ascii="Calibri" w:eastAsia="Tw Cen MT" w:hAnsi="Calibri"/>
          <w:lang w:bidi="ar-SA"/>
        </w:rPr>
        <w:t>T. Mans,</w:t>
      </w:r>
      <w:r>
        <w:rPr>
          <w:rFonts w:eastAsia="Tw Cen MT"/>
        </w:rPr>
        <w:t xml:space="preserve"> J. Weitenberg, </w:t>
      </w:r>
      <w:r w:rsidRPr="00DB1993">
        <w:rPr>
          <w:rFonts w:eastAsia="Tw Cen MT"/>
        </w:rPr>
        <w:t>D. Hoffmann</w:t>
      </w:r>
      <w:r>
        <w:rPr>
          <w:rFonts w:eastAsia="Tw Cen MT"/>
        </w:rPr>
        <w:t xml:space="preserve">, and R. Poprawe, " compact diode pumped 1.1 Kw </w:t>
      </w:r>
      <w:r w:rsidRPr="00EA3C09">
        <w:rPr>
          <w:rFonts w:eastAsia="Tw Cen MT"/>
        </w:rPr>
        <w:t xml:space="preserve">Yb:YAG Innoslab </w:t>
      </w:r>
      <w:r>
        <w:rPr>
          <w:rFonts w:eastAsia="Tw Cen MT"/>
        </w:rPr>
        <w:t xml:space="preserve">femtosecond </w:t>
      </w:r>
      <w:r w:rsidRPr="00EA3C09">
        <w:rPr>
          <w:rFonts w:eastAsia="Tw Cen MT"/>
        </w:rPr>
        <w:t>amplifier</w:t>
      </w:r>
      <w:r>
        <w:rPr>
          <w:rFonts w:eastAsia="Tw Cen MT"/>
        </w:rPr>
        <w:t xml:space="preserve"> "</w:t>
      </w:r>
      <w:r w:rsidR="0008064B">
        <w:rPr>
          <w:rFonts w:ascii="Calibri" w:eastAsia="Tw Cen MT" w:hAnsi="Calibri"/>
          <w:lang w:bidi="ar-SA"/>
        </w:rPr>
        <w:t>, Optics Le</w:t>
      </w:r>
      <w:r>
        <w:rPr>
          <w:rFonts w:ascii="Calibri" w:eastAsia="Tw Cen MT" w:hAnsi="Calibri"/>
          <w:lang w:bidi="ar-SA"/>
        </w:rPr>
        <w:t>tter</w:t>
      </w:r>
      <w:r w:rsidR="0008064B">
        <w:rPr>
          <w:rFonts w:ascii="Calibri" w:eastAsia="Tw Cen MT" w:hAnsi="Calibri"/>
          <w:lang w:bidi="ar-SA"/>
        </w:rPr>
        <w:t>s, Vol. 35, No. 24, 2010.</w:t>
      </w:r>
    </w:p>
    <w:p w:rsidR="0008064B" w:rsidRDefault="0008064B" w:rsidP="0008064B">
      <w:pPr>
        <w:pStyle w:val="ListParagraph"/>
        <w:rPr>
          <w:rFonts w:eastAsia="Tw Cen MT"/>
        </w:rPr>
      </w:pPr>
    </w:p>
    <w:p w:rsidR="0008064B" w:rsidRDefault="0008064B" w:rsidP="00EA3C09">
      <w:pPr>
        <w:pStyle w:val="References"/>
        <w:rPr>
          <w:rFonts w:ascii="Calibri" w:eastAsia="Tw Cen MT" w:hAnsi="Calibri"/>
          <w:lang w:bidi="ar-SA"/>
        </w:rPr>
      </w:pPr>
      <w:r w:rsidRPr="0008064B">
        <w:rPr>
          <w:rFonts w:ascii="Calibri" w:eastAsia="Tw Cen MT" w:hAnsi="Calibri"/>
          <w:lang w:bidi="ar-SA"/>
        </w:rPr>
        <w:t>Gilbert L. Bourdet,“Theoritical investigation of quasi-three- level longitudinally pumped continuous wave lasers”,Applied Optics, Vol. 31, No. 6, pp. 966-971, 2000.</w:t>
      </w:r>
    </w:p>
    <w:p w:rsidR="0008064B" w:rsidRDefault="0008064B" w:rsidP="0008064B">
      <w:pPr>
        <w:pStyle w:val="ListParagraph"/>
        <w:rPr>
          <w:rFonts w:eastAsia="Tw Cen MT"/>
        </w:rPr>
      </w:pPr>
    </w:p>
    <w:p w:rsidR="0008064B" w:rsidRDefault="0008064B" w:rsidP="002F3E09">
      <w:pPr>
        <w:pStyle w:val="References"/>
        <w:numPr>
          <w:ilvl w:val="0"/>
          <w:numId w:val="0"/>
        </w:numPr>
        <w:ind w:left="357"/>
        <w:rPr>
          <w:rFonts w:ascii="Calibri" w:eastAsia="Tw Cen MT" w:hAnsi="Calibri"/>
          <w:lang w:bidi="ar-SA"/>
        </w:rPr>
      </w:pPr>
    </w:p>
    <w:p w:rsidR="00AE3E37" w:rsidRDefault="00AE3E37" w:rsidP="008756E6">
      <w:pPr>
        <w:tabs>
          <w:tab w:val="left" w:pos="384"/>
        </w:tabs>
        <w:ind w:right="117"/>
      </w:pPr>
    </w:p>
    <w:p w:rsidR="00EA3C09" w:rsidRPr="008756E6" w:rsidRDefault="00EA3C09"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50A3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12319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0957E1" w:rsidRDefault="000957E1" w:rsidP="001F7A5D">
      <w:pPr>
        <w:spacing w:before="41" w:line="154" w:lineRule="exact"/>
        <w:ind w:left="213" w:right="231"/>
        <w:jc w:val="both"/>
        <w:rPr>
          <w:rFonts w:ascii="Arial"/>
          <w:sz w:val="14"/>
        </w:rPr>
      </w:pPr>
      <w:r>
        <w:rPr>
          <w:rFonts w:ascii="Arial"/>
          <w:sz w:val="14"/>
        </w:rPr>
        <w:t xml:space="preserve">Arezue </w:t>
      </w:r>
      <w:r w:rsidRPr="000957E1">
        <w:rPr>
          <w:rFonts w:ascii="Arial"/>
          <w:sz w:val="14"/>
        </w:rPr>
        <w:t xml:space="preserve">Sepehr </w:t>
      </w:r>
      <w:r>
        <w:rPr>
          <w:rFonts w:ascii="Arial"/>
          <w:sz w:val="14"/>
        </w:rPr>
        <w:t>recived her MS. degree in physics from Bu. Ali Sina university (BAS), Iran. From</w:t>
      </w:r>
      <w:r w:rsidR="00F05C85">
        <w:rPr>
          <w:rFonts w:ascii="Arial"/>
          <w:sz w:val="14"/>
        </w:rPr>
        <w:t xml:space="preserve"> 2007 to 2017, she has been </w:t>
      </w:r>
      <w:r>
        <w:rPr>
          <w:rFonts w:ascii="Arial"/>
          <w:sz w:val="14"/>
        </w:rPr>
        <w:t xml:space="preserve"> researcher in Iranian National Center for Laser Science and technology. Her research interests primarily are in the field of CW and short pulse solid state laser system. She also conducts numerical simulation in condense-matter physics. Presently, her research is concentrated on Slab laser</w:t>
      </w:r>
      <w:r w:rsidR="00223C77">
        <w:rPr>
          <w:rFonts w:ascii="Arial"/>
          <w:sz w:val="14"/>
        </w:rPr>
        <w:t>, phase coupling</w:t>
      </w:r>
      <w:r w:rsidR="00F05C85">
        <w:rPr>
          <w:rFonts w:ascii="Arial"/>
          <w:sz w:val="14"/>
        </w:rPr>
        <w:t xml:space="preserve"> of diode laser</w:t>
      </w:r>
      <w:r w:rsidR="00223C77">
        <w:rPr>
          <w:rFonts w:ascii="Arial"/>
          <w:sz w:val="14"/>
        </w:rPr>
        <w:t xml:space="preserve"> and characterization of laser beam and optical component.</w:t>
      </w:r>
    </w:p>
    <w:p w:rsidR="000957E1" w:rsidRDefault="000957E1">
      <w:pPr>
        <w:spacing w:before="62"/>
        <w:ind w:left="4217" w:right="4235"/>
        <w:jc w:val="center"/>
        <w:rPr>
          <w:rFonts w:ascii="Arial"/>
          <w:sz w:val="14"/>
        </w:rPr>
      </w:pPr>
    </w:p>
    <w:p w:rsidR="00AE3E37" w:rsidRDefault="00A9710C" w:rsidP="00223C77">
      <w:pPr>
        <w:spacing w:before="62"/>
        <w:ind w:left="4217" w:right="4235"/>
        <w:jc w:val="center"/>
        <w:rPr>
          <w:rFonts w:ascii="Arial"/>
          <w:sz w:val="14"/>
        </w:rPr>
      </w:pPr>
      <w:r>
        <w:rPr>
          <w:rFonts w:ascii="Arial"/>
          <w:sz w:val="14"/>
        </w:rPr>
        <w:t>Email:</w:t>
      </w:r>
      <w:r w:rsidR="002F3E09">
        <w:rPr>
          <w:rFonts w:ascii="Arial"/>
          <w:sz w:val="14"/>
        </w:rPr>
        <w:t>arezue.sepehr@gmail.com</w:t>
      </w:r>
    </w:p>
    <w:p w:rsidR="00AE3E37" w:rsidRDefault="00B50A33">
      <w:pPr>
        <w:pStyle w:val="BodyText"/>
        <w:spacing w:before="2"/>
        <w:rPr>
          <w:rFonts w:ascii="Arial"/>
          <w:sz w:val="19"/>
        </w:rPr>
      </w:pPr>
      <w:r w:rsidRPr="00B50A33">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A7A" w:rsidRDefault="00B21A7A">
      <w:r>
        <w:separator/>
      </w:r>
    </w:p>
  </w:endnote>
  <w:endnote w:type="continuationSeparator" w:id="1">
    <w:p w:rsidR="00B21A7A" w:rsidRDefault="00B21A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09" w:rsidRDefault="00B50A33">
    <w:pPr>
      <w:pStyle w:val="BodyText"/>
      <w:spacing w:line="14" w:lineRule="auto"/>
      <w:rPr>
        <w:sz w:val="20"/>
      </w:rPr>
    </w:pPr>
    <w:r w:rsidRPr="00B50A3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EA3C09" w:rsidRPr="005B3A56" w:rsidRDefault="00EA3C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A3C09" w:rsidRPr="005B3A56" w:rsidRDefault="00EA3C0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50A3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A3C09" w:rsidRPr="005B3A56" w:rsidRDefault="00EA3C0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A3C09" w:rsidRPr="005B3A56" w:rsidRDefault="00EA3C0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50A3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EA3C09" w:rsidRPr="005B3A56" w:rsidRDefault="00EA3C0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A3C09" w:rsidRPr="005B3A56" w:rsidRDefault="00EA3C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A7A" w:rsidRDefault="00B21A7A">
      <w:r>
        <w:separator/>
      </w:r>
    </w:p>
  </w:footnote>
  <w:footnote w:type="continuationSeparator" w:id="1">
    <w:p w:rsidR="00B21A7A" w:rsidRDefault="00B21A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09" w:rsidRDefault="00B50A33">
    <w:pPr>
      <w:pStyle w:val="BodyText"/>
      <w:spacing w:line="14" w:lineRule="auto"/>
      <w:rPr>
        <w:sz w:val="20"/>
      </w:rPr>
    </w:pPr>
    <w:r w:rsidRPr="00B50A3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EA3C09" w:rsidRPr="005B3A56" w:rsidRDefault="00EA3C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50A3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A3C09" w:rsidRPr="005B3A56" w:rsidRDefault="00EA3C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EA3C09" w:rsidRPr="005B3A56" w:rsidRDefault="00EA3C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2600CBF"/>
    <w:multiLevelType w:val="hybridMultilevel"/>
    <w:tmpl w:val="83DABCF6"/>
    <w:lvl w:ilvl="0" w:tplc="D65ACA36">
      <w:start w:val="1"/>
      <w:numFmt w:val="decimal"/>
      <w:pStyle w:val="References"/>
      <w:lvlText w:val="%1"/>
      <w:lvlJc w:val="left"/>
      <w:pPr>
        <w:tabs>
          <w:tab w:val="num" w:pos="360"/>
        </w:tabs>
        <w:ind w:left="357" w:hanging="357"/>
      </w:pPr>
      <w:rPr>
        <w:rFonts w:ascii="Calibri" w:eastAsia="Tw Cen MT" w:hAnsi="Calibri" w:cs="Tw Cen M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characterSpacingControl w:val="doNotCompress"/>
  <w:hdrShapeDefaults>
    <o:shapedefaults v:ext="edit" spidmax="6146"/>
    <o:shapelayout v:ext="edit">
      <o:idmap v:ext="edit" data="4"/>
    </o:shapelayout>
  </w:hdrShapeDefaults>
  <w:footnotePr>
    <w:footnote w:id="0"/>
    <w:footnote w:id="1"/>
  </w:footnotePr>
  <w:endnotePr>
    <w:endnote w:id="0"/>
    <w:endnote w:id="1"/>
  </w:endnotePr>
  <w:compat>
    <w:ulTrailSpace/>
  </w:compat>
  <w:rsids>
    <w:rsidRoot w:val="00AE3E37"/>
    <w:rsid w:val="0008064B"/>
    <w:rsid w:val="000957E1"/>
    <w:rsid w:val="000E2911"/>
    <w:rsid w:val="0012319B"/>
    <w:rsid w:val="001263DF"/>
    <w:rsid w:val="001F7A5D"/>
    <w:rsid w:val="00223C77"/>
    <w:rsid w:val="00292ED9"/>
    <w:rsid w:val="002F3E09"/>
    <w:rsid w:val="003E0C1E"/>
    <w:rsid w:val="00404E5B"/>
    <w:rsid w:val="00407AEA"/>
    <w:rsid w:val="00414F7B"/>
    <w:rsid w:val="004355DC"/>
    <w:rsid w:val="004749B4"/>
    <w:rsid w:val="00494130"/>
    <w:rsid w:val="004F3523"/>
    <w:rsid w:val="005973B9"/>
    <w:rsid w:val="005B3A56"/>
    <w:rsid w:val="006060CE"/>
    <w:rsid w:val="0063497F"/>
    <w:rsid w:val="006B4F20"/>
    <w:rsid w:val="006E57D0"/>
    <w:rsid w:val="00700D42"/>
    <w:rsid w:val="00873DF0"/>
    <w:rsid w:val="008756E6"/>
    <w:rsid w:val="008E0193"/>
    <w:rsid w:val="00931FEF"/>
    <w:rsid w:val="009B2D44"/>
    <w:rsid w:val="00A07E82"/>
    <w:rsid w:val="00A43310"/>
    <w:rsid w:val="00A9710C"/>
    <w:rsid w:val="00AE3E37"/>
    <w:rsid w:val="00B21A57"/>
    <w:rsid w:val="00B21A7A"/>
    <w:rsid w:val="00B50A33"/>
    <w:rsid w:val="00C33602"/>
    <w:rsid w:val="00C37DDB"/>
    <w:rsid w:val="00CD6F55"/>
    <w:rsid w:val="00DE3104"/>
    <w:rsid w:val="00E01F23"/>
    <w:rsid w:val="00EA3C09"/>
    <w:rsid w:val="00F05C8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eferences">
    <w:name w:val="References"/>
    <w:basedOn w:val="Normal"/>
    <w:rsid w:val="00EA3C09"/>
    <w:pPr>
      <w:widowControl/>
      <w:numPr>
        <w:numId w:val="4"/>
      </w:numPr>
      <w:overflowPunct w:val="0"/>
      <w:autoSpaceDE w:val="0"/>
      <w:autoSpaceDN w:val="0"/>
      <w:adjustRightInd w:val="0"/>
      <w:jc w:val="both"/>
    </w:pPr>
    <w:rPr>
      <w:rFonts w:ascii="Times New Roman" w:eastAsia="Times New Roman" w:hAnsi="Times New Roman" w:cs="Times New Roman"/>
      <w:sz w:val="16"/>
      <w:szCs w:val="20"/>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test</cp:lastModifiedBy>
  <cp:revision>2</cp:revision>
  <dcterms:created xsi:type="dcterms:W3CDTF">2017-06-07T11:41:00Z</dcterms:created>
  <dcterms:modified xsi:type="dcterms:W3CDTF">2017-06-07T11:41:00Z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