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B2E74D" w14:textId="52064759" w:rsidR="00AE3E37" w:rsidRDefault="00AB47A4" w:rsidP="00494130">
      <w:pPr>
        <w:pStyle w:val="Heading1"/>
        <w:spacing w:before="170"/>
        <w:ind w:left="0"/>
      </w:pPr>
      <w:r w:rsidRPr="00AB47A4">
        <w:rPr>
          <w:color w:val="337AB7"/>
        </w:rPr>
        <w:t>APOD based evaluation of drug safety and prioritization of investigational drugs</w:t>
      </w:r>
    </w:p>
    <w:p w14:paraId="3915E7E2" w14:textId="77777777" w:rsidR="00AB47A4" w:rsidRDefault="00AB47A4" w:rsidP="00AB47A4">
      <w:pPr>
        <w:pStyle w:val="BodyText"/>
        <w:spacing w:before="73" w:line="198" w:lineRule="exact"/>
        <w:ind w:left="100" w:right="5987"/>
        <w:rPr>
          <w:rFonts w:ascii="Arial"/>
        </w:rPr>
      </w:pPr>
      <w:r w:rsidRPr="00AB47A4">
        <w:rPr>
          <w:rFonts w:ascii="Arial"/>
        </w:rPr>
        <w:t>Chaitanya N. Hiremath, Ph.D.</w:t>
      </w:r>
      <w:r>
        <w:rPr>
          <w:rFonts w:ascii="Arial"/>
        </w:rPr>
        <w:t xml:space="preserve"> </w:t>
      </w:r>
    </w:p>
    <w:p w14:paraId="58B12EFF" w14:textId="1336D1A8" w:rsidR="00AB47A4" w:rsidRDefault="00AB47A4" w:rsidP="00AB47A4">
      <w:pPr>
        <w:pStyle w:val="BodyText"/>
        <w:spacing w:before="73" w:line="198" w:lineRule="exact"/>
        <w:ind w:left="100" w:right="5987"/>
        <w:rPr>
          <w:rFonts w:ascii="Arial"/>
        </w:rPr>
      </w:pPr>
      <w:proofErr w:type="spellStart"/>
      <w:r>
        <w:rPr>
          <w:rFonts w:ascii="Arial"/>
        </w:rPr>
        <w:t>APODvision</w:t>
      </w:r>
      <w:proofErr w:type="spellEnd"/>
      <w:r>
        <w:rPr>
          <w:rFonts w:ascii="Arial"/>
        </w:rPr>
        <w:t xml:space="preserve">, Inc., </w:t>
      </w:r>
      <w:r w:rsidRPr="00AB47A4">
        <w:rPr>
          <w:rFonts w:ascii="Arial"/>
        </w:rPr>
        <w:t>Massachusetts, USA</w:t>
      </w:r>
    </w:p>
    <w:p w14:paraId="26B35C9B" w14:textId="77777777" w:rsidR="00AE3E37" w:rsidRDefault="00AE3E37">
      <w:pPr>
        <w:pStyle w:val="BodyText"/>
        <w:rPr>
          <w:rFonts w:ascii="Arial"/>
          <w:sz w:val="20"/>
        </w:rPr>
      </w:pPr>
    </w:p>
    <w:p w14:paraId="49F4610D"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3F3C1926" w14:textId="0CC42A71" w:rsidR="00AE3E37" w:rsidRDefault="00A9710C">
      <w:pPr>
        <w:pStyle w:val="Heading3"/>
        <w:spacing w:before="147"/>
        <w:jc w:val="both"/>
      </w:pPr>
      <w:r>
        <w:rPr>
          <w:color w:val="BF5A14"/>
        </w:rPr>
        <w:t>Abstract</w:t>
      </w:r>
    </w:p>
    <w:p w14:paraId="7F9D9015" w14:textId="533C1CEC" w:rsidR="00AE3E37" w:rsidRDefault="00AB47A4" w:rsidP="00AB47A4">
      <w:pPr>
        <w:pStyle w:val="BodyText"/>
        <w:spacing w:before="90" w:line="280" w:lineRule="auto"/>
        <w:ind w:left="100"/>
        <w:jc w:val="both"/>
      </w:pPr>
      <w:r w:rsidRPr="00AB47A4">
        <w:t>Abbreviated Profile of Drugs (APOD) is a simple, instantaneous, and empowering prediction method for drug discovery. It facilitates decision-making and prioritization of the investigational treatments. The laboratory techniques used to determine drug safety are time-consuming. The tell-tale signs of drug safety are in the actual makeup of the drug itself. APOD uses the drug’s chemical properties for a mathematical model to predict its pharmacokinetic properties. In this approach, the drugs are classified as: strong, moderate, and weak. It is done using the APOD score which is a pair of numbers that represents benefit and risk presented by a drug. Drugs with only strong and moderate safety profiles can be repurposed for COVID-19 or any other disease targets. The existing effective drugs with weak safety profiles can be modified into effective drugs with moderate/strong profiles through the insights from the APOD fingerprint and difference APOD, even before the molecule is synthesized. The APOD method provides an advancement in the field of drug discovery by unifying all properties in the fingerprint, making any property comparisons possible with uniform representation, and integrating pharmacokinetic insights into drug design.</w:t>
      </w:r>
    </w:p>
    <w:p w14:paraId="5AAD6831" w14:textId="79ACE2C1" w:rsidR="00AE3E37" w:rsidRDefault="00A9710C">
      <w:pPr>
        <w:pStyle w:val="Heading3"/>
        <w:spacing w:before="74"/>
      </w:pPr>
      <w:r>
        <w:rPr>
          <w:b w:val="0"/>
        </w:rPr>
        <w:br w:type="column"/>
      </w:r>
      <w:r>
        <w:rPr>
          <w:color w:val="BF5A14"/>
        </w:rPr>
        <w:t>Image</w:t>
      </w:r>
    </w:p>
    <w:p w14:paraId="498315AA" w14:textId="4235B0E8" w:rsidR="00AE3E37" w:rsidRDefault="002A2821" w:rsidP="00825547">
      <w:pPr>
        <w:pStyle w:val="BodyText"/>
        <w:spacing w:before="2"/>
        <w:jc w:val="center"/>
        <w:rPr>
          <w:rFonts w:ascii="Arial"/>
          <w:b/>
          <w:sz w:val="16"/>
        </w:rPr>
      </w:pPr>
      <w:r>
        <w:rPr>
          <w:noProof/>
        </w:rPr>
        <w:drawing>
          <wp:inline distT="0" distB="0" distL="0" distR="0" wp14:anchorId="23418263" wp14:editId="1F449B52">
            <wp:extent cx="2251075" cy="2060964"/>
            <wp:effectExtent l="0" t="0" r="0" b="0"/>
            <wp:docPr id="2" name="Picture 1">
              <a:extLst xmlns:a="http://schemas.openxmlformats.org/drawingml/2006/main">
                <a:ext uri="{FF2B5EF4-FFF2-40B4-BE49-F238E27FC236}">
                  <a16:creationId xmlns:a16="http://schemas.microsoft.com/office/drawing/2014/main" id="{5458071E-6A60-4B8C-BECB-916CB937F0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5458071E-6A60-4B8C-BECB-916CB937F048}"/>
                        </a:ext>
                      </a:extLst>
                    </pic:cNvPr>
                    <pic:cNvPicPr>
                      <a:picLocks noChangeAspect="1"/>
                    </pic:cNvPicPr>
                  </pic:nvPicPr>
                  <pic:blipFill>
                    <a:blip r:embed="rId8"/>
                    <a:stretch>
                      <a:fillRect/>
                    </a:stretch>
                  </pic:blipFill>
                  <pic:spPr>
                    <a:xfrm>
                      <a:off x="0" y="0"/>
                      <a:ext cx="2256155" cy="2065615"/>
                    </a:xfrm>
                    <a:prstGeom prst="rect">
                      <a:avLst/>
                    </a:prstGeom>
                  </pic:spPr>
                </pic:pic>
              </a:graphicData>
            </a:graphic>
          </wp:inline>
        </w:drawing>
      </w:r>
    </w:p>
    <w:p w14:paraId="20D07BEA" w14:textId="77777777" w:rsidR="00D104E8" w:rsidRDefault="00D104E8" w:rsidP="00825547">
      <w:pPr>
        <w:pStyle w:val="BodyText"/>
        <w:spacing w:before="2"/>
        <w:jc w:val="center"/>
        <w:rPr>
          <w:rFonts w:ascii="Arial"/>
          <w:b/>
          <w:sz w:val="16"/>
        </w:rPr>
      </w:pPr>
    </w:p>
    <w:p w14:paraId="46B740EF" w14:textId="37E44452" w:rsidR="00D104E8" w:rsidRDefault="00D104E8" w:rsidP="00825547">
      <w:pPr>
        <w:pStyle w:val="BodyText"/>
        <w:spacing w:before="2"/>
        <w:jc w:val="center"/>
        <w:rPr>
          <w:rFonts w:ascii="Arial"/>
          <w:b/>
          <w:sz w:val="16"/>
        </w:rPr>
      </w:pPr>
      <w:r>
        <w:rPr>
          <w:rFonts w:ascii="Arial"/>
          <w:b/>
          <w:sz w:val="16"/>
        </w:rPr>
        <w:t xml:space="preserve">Figure 1: Graphical-APOD </w:t>
      </w:r>
      <w:r w:rsidR="00075EF4">
        <w:rPr>
          <w:rFonts w:ascii="Arial"/>
          <w:b/>
          <w:sz w:val="16"/>
        </w:rPr>
        <w:t>representation of a recalled</w:t>
      </w:r>
      <w:r>
        <w:rPr>
          <w:rFonts w:ascii="Arial"/>
          <w:b/>
          <w:sz w:val="16"/>
        </w:rPr>
        <w:t xml:space="preserve"> drug</w:t>
      </w:r>
    </w:p>
    <w:p w14:paraId="44E2E9E2" w14:textId="190AA099" w:rsidR="005973B9" w:rsidRDefault="005973B9" w:rsidP="005973B9">
      <w:pPr>
        <w:spacing w:line="204" w:lineRule="exact"/>
        <w:rPr>
          <w:rFonts w:ascii="Arial"/>
          <w:b/>
          <w:sz w:val="20"/>
        </w:rPr>
      </w:pPr>
      <w:r>
        <w:rPr>
          <w:rFonts w:ascii="Arial"/>
          <w:b/>
          <w:color w:val="BF5A14"/>
          <w:sz w:val="20"/>
        </w:rPr>
        <w:br/>
        <w:t>Recent Publications</w:t>
      </w:r>
    </w:p>
    <w:p w14:paraId="0FDA2999" w14:textId="3B656213" w:rsidR="00BD48E7" w:rsidRPr="00BD48E7" w:rsidRDefault="00BD48E7" w:rsidP="00BD48E7">
      <w:pPr>
        <w:pStyle w:val="ListParagraph"/>
        <w:numPr>
          <w:ilvl w:val="0"/>
          <w:numId w:val="3"/>
        </w:numPr>
        <w:tabs>
          <w:tab w:val="left" w:pos="384"/>
        </w:tabs>
        <w:spacing w:before="103" w:line="216" w:lineRule="exact"/>
        <w:ind w:right="138"/>
        <w:rPr>
          <w:sz w:val="18"/>
        </w:rPr>
      </w:pPr>
      <w:r w:rsidRPr="00BD48E7">
        <w:rPr>
          <w:sz w:val="18"/>
        </w:rPr>
        <w:t xml:space="preserve">C.N. Hiremath, R.A. Grant, D.J. </w:t>
      </w:r>
      <w:proofErr w:type="spellStart"/>
      <w:r w:rsidRPr="00BD48E7">
        <w:rPr>
          <w:sz w:val="18"/>
        </w:rPr>
        <w:t>Filman</w:t>
      </w:r>
      <w:proofErr w:type="spellEnd"/>
      <w:r w:rsidRPr="00BD48E7">
        <w:rPr>
          <w:sz w:val="18"/>
        </w:rPr>
        <w:t xml:space="preserve"> and J.M. </w:t>
      </w:r>
      <w:proofErr w:type="spellStart"/>
      <w:r w:rsidRPr="00BD48E7">
        <w:rPr>
          <w:sz w:val="18"/>
        </w:rPr>
        <w:t>Hogle</w:t>
      </w:r>
      <w:proofErr w:type="spellEnd"/>
      <w:r w:rsidRPr="00BD48E7">
        <w:rPr>
          <w:sz w:val="18"/>
        </w:rPr>
        <w:t xml:space="preserve">. The Binding of the Antiviral Drug WIN51711 to the Sabin Strain of Type 3 Poliovirus: Structural Comparison with Drug Binding in Rhinovirus 14. </w:t>
      </w:r>
      <w:r w:rsidRPr="00825547">
        <w:rPr>
          <w:i/>
          <w:iCs/>
          <w:sz w:val="18"/>
        </w:rPr>
        <w:t xml:space="preserve">Acta </w:t>
      </w:r>
      <w:proofErr w:type="spellStart"/>
      <w:r w:rsidRPr="00825547">
        <w:rPr>
          <w:i/>
          <w:iCs/>
          <w:sz w:val="18"/>
        </w:rPr>
        <w:t>Cryst</w:t>
      </w:r>
      <w:proofErr w:type="spellEnd"/>
      <w:r w:rsidRPr="00BD48E7">
        <w:rPr>
          <w:sz w:val="18"/>
        </w:rPr>
        <w:t>. (1995) D51: 473-489.</w:t>
      </w:r>
    </w:p>
    <w:p w14:paraId="5AAC5CAA" w14:textId="1DADDA45" w:rsidR="00BD48E7" w:rsidRPr="00BD48E7" w:rsidRDefault="00BD48E7" w:rsidP="00BD48E7">
      <w:pPr>
        <w:pStyle w:val="ListParagraph"/>
        <w:numPr>
          <w:ilvl w:val="0"/>
          <w:numId w:val="3"/>
        </w:numPr>
        <w:tabs>
          <w:tab w:val="left" w:pos="384"/>
        </w:tabs>
        <w:spacing w:before="103" w:line="216" w:lineRule="exact"/>
        <w:ind w:right="138"/>
        <w:rPr>
          <w:sz w:val="18"/>
        </w:rPr>
      </w:pPr>
      <w:r w:rsidRPr="00BD48E7">
        <w:rPr>
          <w:sz w:val="18"/>
        </w:rPr>
        <w:t xml:space="preserve">C.N. Hiremath, D.J. </w:t>
      </w:r>
      <w:proofErr w:type="spellStart"/>
      <w:r w:rsidRPr="00BD48E7">
        <w:rPr>
          <w:sz w:val="18"/>
        </w:rPr>
        <w:t>Filman</w:t>
      </w:r>
      <w:proofErr w:type="spellEnd"/>
      <w:r w:rsidRPr="00BD48E7">
        <w:rPr>
          <w:sz w:val="18"/>
        </w:rPr>
        <w:t xml:space="preserve">, R.A. Grant and J.M. </w:t>
      </w:r>
      <w:proofErr w:type="spellStart"/>
      <w:r w:rsidRPr="00BD48E7">
        <w:rPr>
          <w:sz w:val="18"/>
        </w:rPr>
        <w:t>Hogle</w:t>
      </w:r>
      <w:proofErr w:type="spellEnd"/>
      <w:r w:rsidRPr="00BD48E7">
        <w:rPr>
          <w:sz w:val="18"/>
        </w:rPr>
        <w:t xml:space="preserve">. Ligand-induced Conformational changes in Poliovirus-Antiviral Drugs Complexes. </w:t>
      </w:r>
      <w:r w:rsidRPr="00825547">
        <w:rPr>
          <w:i/>
          <w:iCs/>
          <w:sz w:val="18"/>
        </w:rPr>
        <w:t xml:space="preserve">Acta </w:t>
      </w:r>
      <w:proofErr w:type="spellStart"/>
      <w:r w:rsidRPr="00825547">
        <w:rPr>
          <w:i/>
          <w:iCs/>
          <w:sz w:val="18"/>
        </w:rPr>
        <w:t>Cryst</w:t>
      </w:r>
      <w:proofErr w:type="spellEnd"/>
      <w:r w:rsidRPr="00BD48E7">
        <w:rPr>
          <w:sz w:val="18"/>
        </w:rPr>
        <w:t>. (1997) D53: 558-570.</w:t>
      </w:r>
    </w:p>
    <w:p w14:paraId="69060C1D" w14:textId="27B16A73" w:rsidR="00BD48E7" w:rsidRPr="00BD48E7" w:rsidRDefault="00BD48E7" w:rsidP="00BD48E7">
      <w:pPr>
        <w:pStyle w:val="ListParagraph"/>
        <w:numPr>
          <w:ilvl w:val="0"/>
          <w:numId w:val="3"/>
        </w:numPr>
        <w:tabs>
          <w:tab w:val="left" w:pos="384"/>
        </w:tabs>
        <w:spacing w:before="103" w:line="216" w:lineRule="exact"/>
        <w:ind w:right="138"/>
        <w:rPr>
          <w:sz w:val="18"/>
        </w:rPr>
      </w:pPr>
      <w:r w:rsidRPr="00BD48E7">
        <w:rPr>
          <w:sz w:val="18"/>
        </w:rPr>
        <w:t xml:space="preserve">C.N. Hiremath. Abbreviated Profile of Drugs (A-POD): A unique numerical and graphical representation for compound properties and its use in ADMET prediction. </w:t>
      </w:r>
      <w:r w:rsidRPr="00825547">
        <w:rPr>
          <w:i/>
          <w:iCs/>
          <w:sz w:val="18"/>
        </w:rPr>
        <w:t>International Journal of Integrative Biology</w:t>
      </w:r>
      <w:r w:rsidRPr="00BD48E7">
        <w:rPr>
          <w:sz w:val="18"/>
        </w:rPr>
        <w:t xml:space="preserve"> (2007). 1(1): 44-50.</w:t>
      </w:r>
    </w:p>
    <w:p w14:paraId="3FA61F74" w14:textId="280B92B9" w:rsidR="00BD48E7" w:rsidRDefault="00BD48E7" w:rsidP="00BD48E7">
      <w:pPr>
        <w:pStyle w:val="ListParagraph"/>
        <w:numPr>
          <w:ilvl w:val="0"/>
          <w:numId w:val="3"/>
        </w:numPr>
        <w:tabs>
          <w:tab w:val="left" w:pos="384"/>
        </w:tabs>
        <w:spacing w:before="103" w:line="216" w:lineRule="exact"/>
        <w:ind w:right="138"/>
        <w:jc w:val="left"/>
        <w:rPr>
          <w:sz w:val="18"/>
        </w:rPr>
      </w:pPr>
      <w:r w:rsidRPr="00BD48E7">
        <w:rPr>
          <w:sz w:val="18"/>
        </w:rPr>
        <w:t xml:space="preserve">C.N. Hiremath. Let Your Success be BIIG: A New Paradigm for Problem-Solving in Science. </w:t>
      </w:r>
      <w:r w:rsidRPr="00825547">
        <w:rPr>
          <w:i/>
          <w:iCs/>
          <w:sz w:val="18"/>
        </w:rPr>
        <w:t>International Journal of Physics</w:t>
      </w:r>
      <w:r w:rsidRPr="00BD48E7">
        <w:rPr>
          <w:sz w:val="18"/>
        </w:rPr>
        <w:t xml:space="preserve"> (2015), 3(3), 113-119.</w:t>
      </w:r>
      <w:r>
        <w:rPr>
          <w:sz w:val="18"/>
        </w:rPr>
        <w:t xml:space="preserve"> </w:t>
      </w:r>
    </w:p>
    <w:p w14:paraId="38E0EB85" w14:textId="5C4D8C13" w:rsidR="00AB47A4" w:rsidRPr="00AB47A4" w:rsidRDefault="00AB47A4" w:rsidP="00AB47A4">
      <w:pPr>
        <w:pStyle w:val="ListParagraph"/>
        <w:numPr>
          <w:ilvl w:val="0"/>
          <w:numId w:val="3"/>
        </w:numPr>
        <w:tabs>
          <w:tab w:val="left" w:pos="384"/>
        </w:tabs>
        <w:spacing w:before="103" w:line="216" w:lineRule="exact"/>
        <w:ind w:right="138"/>
        <w:jc w:val="left"/>
        <w:rPr>
          <w:sz w:val="18"/>
        </w:rPr>
      </w:pPr>
      <w:r w:rsidRPr="00AB47A4">
        <w:rPr>
          <w:sz w:val="18"/>
        </w:rPr>
        <w:t xml:space="preserve">Hiremath C. N. (2021). Abbreviated Profile of Drugs (APOD): modeling drug safety profiles to prioritize investigational COVID-19 treatments. </w:t>
      </w:r>
      <w:proofErr w:type="spellStart"/>
      <w:r w:rsidRPr="00825547">
        <w:rPr>
          <w:i/>
          <w:iCs/>
          <w:sz w:val="18"/>
        </w:rPr>
        <w:t>Heliyon</w:t>
      </w:r>
      <w:proofErr w:type="spellEnd"/>
      <w:r w:rsidRPr="00AB47A4">
        <w:rPr>
          <w:sz w:val="18"/>
        </w:rPr>
        <w:t xml:space="preserve">, 7(8), e07666. </w:t>
      </w:r>
    </w:p>
    <w:p w14:paraId="69C7DD1A" w14:textId="77777777" w:rsidR="00AE3E37" w:rsidRPr="008756E6" w:rsidRDefault="00AE3E37" w:rsidP="008756E6">
      <w:pPr>
        <w:tabs>
          <w:tab w:val="left" w:pos="384"/>
        </w:tabs>
        <w:ind w:right="117"/>
      </w:pPr>
    </w:p>
    <w:p w14:paraId="337A134D" w14:textId="77777777" w:rsidR="00AE3E37" w:rsidRDefault="00AE3E37">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p>
    <w:p w14:paraId="6D43372E" w14:textId="7D61B0D5" w:rsidR="00AE3E37" w:rsidRDefault="00AE3E37">
      <w:pPr>
        <w:pStyle w:val="BodyText"/>
        <w:rPr>
          <w:rFonts w:ascii="Calibri"/>
          <w:sz w:val="20"/>
        </w:rPr>
      </w:pPr>
    </w:p>
    <w:p w14:paraId="46A8C11E" w14:textId="45E2BC8B" w:rsidR="00AE3E37" w:rsidRDefault="00BD7340">
      <w:pPr>
        <w:pStyle w:val="BodyText"/>
        <w:spacing w:line="40" w:lineRule="exact"/>
        <w:ind w:left="2202"/>
        <w:rPr>
          <w:rFonts w:ascii="Calibri"/>
          <w:sz w:val="4"/>
        </w:rPr>
      </w:pPr>
      <w:r>
        <w:rPr>
          <w:rFonts w:ascii="Calibri"/>
          <w:noProof/>
          <w:sz w:val="4"/>
          <w:lang w:val="en-IN" w:eastAsia="en-IN"/>
        </w:rPr>
      </w:r>
      <w:r>
        <w:rPr>
          <w:rFonts w:ascii="Calibri"/>
          <w:noProof/>
          <w:sz w:val="4"/>
          <w:lang w:val="en-IN" w:eastAsia="en-IN"/>
        </w:rPr>
        <w:pict w14:anchorId="02F431F7">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w:r>
    </w:p>
    <w:p w14:paraId="69370B72" w14:textId="4CB7CFAC" w:rsidR="00D104E8" w:rsidRDefault="00885F30" w:rsidP="00404E5B">
      <w:pPr>
        <w:spacing w:before="92"/>
        <w:ind w:right="4234"/>
        <w:rPr>
          <w:rFonts w:ascii="Arial"/>
          <w:color w:val="BF5A14"/>
        </w:rPr>
      </w:pPr>
      <w:r w:rsidRPr="001E3699">
        <w:rPr>
          <w:noProof/>
        </w:rPr>
        <w:drawing>
          <wp:anchor distT="0" distB="0" distL="114300" distR="114300" simplePos="0" relativeHeight="251665920" behindDoc="0" locked="0" layoutInCell="1" allowOverlap="1" wp14:anchorId="1D684365" wp14:editId="4F99E2A7">
            <wp:simplePos x="0" y="0"/>
            <wp:positionH relativeFrom="column">
              <wp:posOffset>25400</wp:posOffset>
            </wp:positionH>
            <wp:positionV relativeFrom="paragraph">
              <wp:posOffset>6985</wp:posOffset>
            </wp:positionV>
            <wp:extent cx="1066800" cy="106489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66800" cy="10648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EBAD7C3" w14:textId="42A6D127" w:rsidR="00D104E8" w:rsidRDefault="00BD7340" w:rsidP="00D104E8">
      <w:pPr>
        <w:spacing w:before="92"/>
        <w:ind w:right="4234"/>
        <w:jc w:val="right"/>
        <w:rPr>
          <w:rFonts w:ascii="Arial"/>
          <w:color w:val="BF5A14"/>
        </w:rPr>
      </w:pPr>
      <w:r>
        <w:rPr>
          <w:rFonts w:ascii="Times New Roman" w:hAnsi="Times New Roman" w:cs="Times New Roman"/>
          <w:noProof/>
          <w:sz w:val="24"/>
          <w:szCs w:val="24"/>
          <w:lang w:val="en-IN" w:eastAsia="en-IN"/>
        </w:rPr>
        <w:pict w14:anchorId="6D2D8DB8">
          <v:roundrect id="Rounded Rectangle 2" o:spid="_x0000_s1029" style="position:absolute;left:0;text-align:left;margin-left:255.75pt;margin-top:1.3pt;width:168pt;height:52.5pt;z-index:25166028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style="mso-next-textbox:#Rounded Rectangle 2">
              <w:txbxContent>
                <w:p w14:paraId="3BEF0FD8" w14:textId="19CCA78B" w:rsidR="00A52075" w:rsidRDefault="00D104E8" w:rsidP="00885F30">
                  <w:pPr>
                    <w:jc w:val="right"/>
                    <w:rPr>
                      <w:b/>
                      <w:color w:val="0000FF"/>
                      <w:lang w:val="en-IN"/>
                    </w:rPr>
                  </w:pPr>
                  <w:r>
                    <w:rPr>
                      <w:noProof/>
                    </w:rPr>
                    <w:drawing>
                      <wp:inline distT="0" distB="0" distL="0" distR="0" wp14:anchorId="5B443059" wp14:editId="65B94DF0">
                        <wp:extent cx="1913255" cy="4762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l="10337" t="26105" r="4025" b="18338"/>
                                <a:stretch/>
                              </pic:blipFill>
                              <pic:spPr bwMode="auto">
                                <a:xfrm>
                                  <a:off x="0" y="0"/>
                                  <a:ext cx="1992559" cy="49599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roundrect>
        </w:pict>
      </w:r>
    </w:p>
    <w:p w14:paraId="7391B1FB" w14:textId="55179FD1" w:rsidR="00D104E8" w:rsidRDefault="00D104E8" w:rsidP="00404E5B">
      <w:pPr>
        <w:spacing w:before="92"/>
        <w:ind w:right="4234"/>
        <w:rPr>
          <w:rFonts w:ascii="Arial"/>
          <w:color w:val="BF5A14"/>
        </w:rPr>
      </w:pPr>
    </w:p>
    <w:p w14:paraId="065AE601" w14:textId="77777777" w:rsidR="00885F30" w:rsidRDefault="00885F30" w:rsidP="00404E5B">
      <w:pPr>
        <w:spacing w:before="92"/>
        <w:ind w:right="4234"/>
        <w:rPr>
          <w:rFonts w:ascii="Arial"/>
          <w:color w:val="BF5A14"/>
        </w:rPr>
      </w:pPr>
    </w:p>
    <w:p w14:paraId="5EB9859C" w14:textId="7181B2DA" w:rsidR="00D104E8" w:rsidRDefault="00D104E8" w:rsidP="00404E5B">
      <w:pPr>
        <w:spacing w:before="92"/>
        <w:ind w:right="4234"/>
        <w:rPr>
          <w:rFonts w:ascii="Arial"/>
          <w:color w:val="BF5A14"/>
        </w:rPr>
      </w:pPr>
    </w:p>
    <w:p w14:paraId="53057AD5" w14:textId="5E6B1F75" w:rsidR="00AE3E37" w:rsidRDefault="00A9710C" w:rsidP="00404E5B">
      <w:pPr>
        <w:spacing w:before="92"/>
        <w:ind w:right="4234"/>
        <w:rPr>
          <w:rFonts w:ascii="Arial"/>
        </w:rPr>
      </w:pPr>
      <w:r>
        <w:rPr>
          <w:rFonts w:ascii="Arial"/>
          <w:color w:val="BF5A14"/>
        </w:rPr>
        <w:t>Biography</w:t>
      </w:r>
    </w:p>
    <w:p w14:paraId="1E3C775E" w14:textId="77777777" w:rsidR="00BD48E7" w:rsidRPr="00BD48E7" w:rsidRDefault="00BD48E7" w:rsidP="00BD48E7">
      <w:pPr>
        <w:spacing w:before="41" w:line="154" w:lineRule="exact"/>
        <w:ind w:left="213" w:right="231"/>
        <w:jc w:val="both"/>
        <w:rPr>
          <w:rFonts w:ascii="Arial"/>
          <w:sz w:val="14"/>
        </w:rPr>
      </w:pPr>
      <w:r w:rsidRPr="00BD48E7">
        <w:rPr>
          <w:rFonts w:ascii="Arial"/>
          <w:sz w:val="14"/>
        </w:rPr>
        <w:t xml:space="preserve">Dr. Chaitanya Hiremath is a distinguished drug discovery scientist, educator, advisor, mentor, reviewer, founder, and inventor, specializing in Bioinformatics and Cheminformatics. He was a senior fellow at Harvard Medical School and a visiting scientist at Massachusetts Institute of Technology. As a former associate-professor of bioinformatics, apart from research, mentoring, and teaching, he has served as a Chief-Coordinator of Bioinformatics Program at a national level, managing all aspects of this program across five centers. Dr. Hiremath has developed the BIIG problem-solving method with a goal of improving science education worldwide. Dr. Hiremath has designed the World Flag and is the founder of a non-profit organization </w:t>
      </w:r>
      <w:proofErr w:type="spellStart"/>
      <w:r w:rsidRPr="00BD48E7">
        <w:rPr>
          <w:rFonts w:ascii="Arial"/>
          <w:sz w:val="14"/>
        </w:rPr>
        <w:t>SEALOEarth</w:t>
      </w:r>
      <w:proofErr w:type="spellEnd"/>
      <w:r w:rsidRPr="00BD48E7">
        <w:rPr>
          <w:rFonts w:ascii="Arial"/>
          <w:sz w:val="14"/>
        </w:rPr>
        <w:t xml:space="preserve">. </w:t>
      </w:r>
    </w:p>
    <w:p w14:paraId="7A80869D" w14:textId="0E478AB1" w:rsidR="00AE3E37" w:rsidRPr="00D104E8" w:rsidRDefault="00BD48E7" w:rsidP="00D104E8">
      <w:pPr>
        <w:spacing w:before="41" w:line="154" w:lineRule="exact"/>
        <w:ind w:left="213" w:right="231"/>
        <w:jc w:val="center"/>
        <w:rPr>
          <w:rFonts w:ascii="Arial"/>
          <w:sz w:val="14"/>
        </w:rPr>
      </w:pPr>
      <w:r w:rsidRPr="00BD48E7">
        <w:rPr>
          <w:rFonts w:ascii="Arial"/>
          <w:sz w:val="14"/>
        </w:rPr>
        <w:t>ORCID:  https://orcid.org/0000-0001-6116-0727</w:t>
      </w:r>
      <w:r w:rsidR="00BD7340">
        <w:rPr>
          <w:noProof/>
          <w:sz w:val="18"/>
          <w:lang w:val="en-IN" w:eastAsia="en-IN"/>
        </w:rPr>
        <w:pict w14:anchorId="21577AB0">
          <v:line id="Line 3" o:spid="_x0000_s1028" style="position:absolute;left:0;text-align:left;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14:paraId="2FB93098" w14:textId="77777777" w:rsidR="00AE3E37" w:rsidRDefault="00AE3E37">
      <w:pPr>
        <w:pStyle w:val="BodyText"/>
        <w:spacing w:before="7"/>
        <w:rPr>
          <w:rFonts w:ascii="Arial"/>
          <w:sz w:val="29"/>
        </w:rPr>
      </w:pPr>
    </w:p>
    <w:p w14:paraId="6E89FEEC" w14:textId="77777777" w:rsidR="00AE3E37" w:rsidRPr="00B21A57" w:rsidRDefault="00A9710C">
      <w:pPr>
        <w:spacing w:before="39"/>
        <w:ind w:left="100"/>
        <w:rPr>
          <w:rFonts w:ascii="Minion Pro"/>
          <w:b/>
          <w:sz w:val="20"/>
        </w:rPr>
      </w:pPr>
      <w:r w:rsidRPr="00B21A57">
        <w:rPr>
          <w:rFonts w:ascii="Minion Pro"/>
          <w:b/>
          <w:sz w:val="20"/>
        </w:rPr>
        <w:t>Notes/Comments:</w:t>
      </w:r>
    </w:p>
    <w:p w14:paraId="3F059D6B" w14:textId="77777777"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14:paraId="5574EB1C" w14:textId="77777777" w:rsidR="00F046EA" w:rsidRPr="0013708E" w:rsidRDefault="00F046EA" w:rsidP="00F046EA">
      <w:pPr>
        <w:jc w:val="both"/>
        <w:rPr>
          <w:b/>
        </w:rPr>
      </w:pPr>
      <w:r w:rsidRPr="0013708E">
        <w:rPr>
          <w:b/>
        </w:rPr>
        <w:lastRenderedPageBreak/>
        <w:t xml:space="preserve">Presenting author details </w:t>
      </w:r>
    </w:p>
    <w:p w14:paraId="016C77D4" w14:textId="420D53B8" w:rsidR="00F046EA" w:rsidRPr="0013708E" w:rsidRDefault="00F046EA" w:rsidP="00F046EA">
      <w:pPr>
        <w:jc w:val="both"/>
      </w:pPr>
      <w:r w:rsidRPr="0013708E">
        <w:t xml:space="preserve">Full name: </w:t>
      </w:r>
      <w:r w:rsidR="00825547">
        <w:t>Dr. Chaitanya N. Hiremath</w:t>
      </w:r>
    </w:p>
    <w:p w14:paraId="393DADA6" w14:textId="210BB77C" w:rsidR="00F046EA" w:rsidRDefault="00F046EA" w:rsidP="00F046EA">
      <w:pPr>
        <w:jc w:val="both"/>
      </w:pPr>
      <w:r w:rsidRPr="0013708E">
        <w:t>Contact number:</w:t>
      </w:r>
      <w:r w:rsidR="00825547">
        <w:t xml:space="preserve"> +1 978</w:t>
      </w:r>
      <w:r w:rsidR="007923D3">
        <w:t>-</w:t>
      </w:r>
      <w:r w:rsidR="00825547">
        <w:t>692</w:t>
      </w:r>
      <w:r w:rsidR="007923D3">
        <w:t>-</w:t>
      </w:r>
      <w:r w:rsidR="00825547">
        <w:t>1658</w:t>
      </w:r>
    </w:p>
    <w:p w14:paraId="0E3B848A" w14:textId="3C93A9A1" w:rsidR="00F046EA" w:rsidRPr="0013708E" w:rsidRDefault="00F046EA" w:rsidP="00F046EA">
      <w:pPr>
        <w:jc w:val="both"/>
      </w:pPr>
      <w:r>
        <w:t xml:space="preserve">Mail id: </w:t>
      </w:r>
      <w:r w:rsidR="00825547">
        <w:t>cnhiremath@apodvision.com</w:t>
      </w:r>
    </w:p>
    <w:p w14:paraId="1C5848CC" w14:textId="7642DE33" w:rsidR="00AE3E37" w:rsidRDefault="00F046EA" w:rsidP="00017FD0">
      <w:pPr>
        <w:jc w:val="both"/>
        <w:rPr>
          <w:rFonts w:ascii="Minion Pro"/>
          <w:sz w:val="26"/>
        </w:rPr>
      </w:pPr>
      <w:r w:rsidRPr="0013708E">
        <w:t>Category: Oral presentation</w:t>
      </w: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A64B60" w14:textId="77777777" w:rsidR="00BD7340" w:rsidRDefault="00BD7340">
      <w:r>
        <w:separator/>
      </w:r>
    </w:p>
  </w:endnote>
  <w:endnote w:type="continuationSeparator" w:id="0">
    <w:p w14:paraId="67356987" w14:textId="77777777" w:rsidR="00BD7340" w:rsidRDefault="00BD73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2FE83" w14:textId="77777777" w:rsidR="00AE3E37" w:rsidRDefault="00BD7340">
    <w:pPr>
      <w:pStyle w:val="BodyText"/>
      <w:spacing w:line="14" w:lineRule="auto"/>
      <w:rPr>
        <w:sz w:val="20"/>
      </w:rPr>
    </w:pPr>
    <w:r>
      <w:rPr>
        <w:noProof/>
        <w:lang w:val="en-IN" w:eastAsia="en-IN"/>
      </w:rPr>
      <w:pict w14:anchorId="79F6ABE1">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style="mso-next-textbox:#Text Box 3" inset="0,0,0,0">
            <w:txbxContent>
              <w:p w14:paraId="33F0817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CA39A0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Pr>
        <w:noProof/>
        <w:lang w:val="en-IN" w:eastAsia="en-IN"/>
      </w:rPr>
      <w:pict w14:anchorId="072CC137">
        <v:shape id="Text Box 2" o:spid="_x0000_s2050"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style="mso-next-textbox:#Text Box 2" inset="0,0,0,0">
            <w:txbxContent>
              <w:p w14:paraId="1B3DC0A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B154DA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Pr>
        <w:noProof/>
        <w:lang w:val="en-IN" w:eastAsia="en-IN"/>
      </w:rPr>
      <w:pict w14:anchorId="5AFD2130">
        <v:shape id="Text Box 1" o:spid="_x0000_s2049"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style="mso-next-textbox:#Text Box 1" inset="0,0,0,0">
            <w:txbxContent>
              <w:p w14:paraId="2C2A764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407F2B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96FB64" w14:textId="77777777" w:rsidR="00BD7340" w:rsidRDefault="00BD7340">
      <w:r>
        <w:separator/>
      </w:r>
    </w:p>
  </w:footnote>
  <w:footnote w:type="continuationSeparator" w:id="0">
    <w:p w14:paraId="1BEB2A06" w14:textId="77777777" w:rsidR="00BD7340" w:rsidRDefault="00BD73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AE3E37"/>
    <w:rsid w:val="00017FD0"/>
    <w:rsid w:val="00075EF4"/>
    <w:rsid w:val="000E2911"/>
    <w:rsid w:val="000E439D"/>
    <w:rsid w:val="001263DF"/>
    <w:rsid w:val="00235E8A"/>
    <w:rsid w:val="00292ED9"/>
    <w:rsid w:val="002A2821"/>
    <w:rsid w:val="00351D9B"/>
    <w:rsid w:val="00380299"/>
    <w:rsid w:val="00404E5B"/>
    <w:rsid w:val="00414F7B"/>
    <w:rsid w:val="004355DC"/>
    <w:rsid w:val="00455775"/>
    <w:rsid w:val="004749B4"/>
    <w:rsid w:val="00494130"/>
    <w:rsid w:val="004F3523"/>
    <w:rsid w:val="005973B9"/>
    <w:rsid w:val="005B3A56"/>
    <w:rsid w:val="006060CE"/>
    <w:rsid w:val="00610FFD"/>
    <w:rsid w:val="0061505C"/>
    <w:rsid w:val="0063497F"/>
    <w:rsid w:val="006A19CC"/>
    <w:rsid w:val="00714354"/>
    <w:rsid w:val="007923D3"/>
    <w:rsid w:val="00825547"/>
    <w:rsid w:val="00873DF0"/>
    <w:rsid w:val="008756E6"/>
    <w:rsid w:val="00885F30"/>
    <w:rsid w:val="00897EC5"/>
    <w:rsid w:val="008B1592"/>
    <w:rsid w:val="008E5477"/>
    <w:rsid w:val="008F0B3B"/>
    <w:rsid w:val="009B2D44"/>
    <w:rsid w:val="00A07E82"/>
    <w:rsid w:val="00A52075"/>
    <w:rsid w:val="00A9710C"/>
    <w:rsid w:val="00AB47A4"/>
    <w:rsid w:val="00AE3E37"/>
    <w:rsid w:val="00B21A57"/>
    <w:rsid w:val="00BD48E7"/>
    <w:rsid w:val="00BD7340"/>
    <w:rsid w:val="00C33602"/>
    <w:rsid w:val="00C56C74"/>
    <w:rsid w:val="00CD6F55"/>
    <w:rsid w:val="00CE0E21"/>
    <w:rsid w:val="00D104E8"/>
    <w:rsid w:val="00D31ACA"/>
    <w:rsid w:val="00DE3104"/>
    <w:rsid w:val="00DE6170"/>
    <w:rsid w:val="00E30AAC"/>
    <w:rsid w:val="00E95D97"/>
    <w:rsid w:val="00EB4ACB"/>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A3B3303"/>
  <w15:docId w15:val="{D109225B-491B-43E0-BCA8-EAC14D27D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AB47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tiff"/><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2</Pages>
  <Words>514</Words>
  <Characters>2936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Chaitanya</cp:lastModifiedBy>
  <cp:revision>13</cp:revision>
  <cp:lastPrinted>2021-08-09T19:12:00Z</cp:lastPrinted>
  <dcterms:created xsi:type="dcterms:W3CDTF">2021-06-04T12:56:00Z</dcterms:created>
  <dcterms:modified xsi:type="dcterms:W3CDTF">2021-08-09T19:26:00Z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