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A5" w:rsidRPr="00DA6DA5" w:rsidRDefault="00DA6DA5" w:rsidP="00DA6DA5">
      <w:pPr>
        <w:spacing w:line="360" w:lineRule="auto"/>
        <w:rPr>
          <w:rFonts w:ascii="Times New Roman" w:hAnsi="Times New Roman" w:cs="Times New Roman" w:hint="cs"/>
          <w:sz w:val="28"/>
          <w:szCs w:val="28"/>
          <w:lang w:bidi="ar-EG"/>
        </w:rPr>
      </w:pPr>
    </w:p>
    <w:p w:rsidR="00DA6DA5" w:rsidRPr="00DA6DA5" w:rsidRDefault="00DA6DA5" w:rsidP="00DA6DA5">
      <w:pPr>
        <w:spacing w:line="360" w:lineRule="auto"/>
        <w:rPr>
          <w:rFonts w:ascii="Times New Roman" w:hAnsi="Times New Roman" w:cs="Times New Roman"/>
          <w:sz w:val="28"/>
          <w:szCs w:val="28"/>
          <w:lang w:bidi="ar-EG"/>
        </w:rPr>
      </w:pPr>
    </w:p>
    <w:p w:rsidR="00DA6DA5" w:rsidRPr="00DA6DA5" w:rsidRDefault="00DA6DA5" w:rsidP="00DA6DA5">
      <w:pPr>
        <w:spacing w:line="360" w:lineRule="auto"/>
        <w:jc w:val="right"/>
        <w:rPr>
          <w:rFonts w:ascii="Times New Roman" w:hAnsi="Times New Roman" w:cs="Times New Roman" w:hint="cs"/>
          <w:b/>
          <w:bCs/>
          <w:sz w:val="40"/>
          <w:szCs w:val="40"/>
          <w:rtl/>
          <w:lang w:bidi="ar-EG"/>
        </w:rPr>
      </w:pPr>
      <w:proofErr w:type="spellStart"/>
      <w:r w:rsidRPr="00DA6DA5">
        <w:rPr>
          <w:rFonts w:ascii="Times New Roman" w:hAnsi="Times New Roman" w:cs="Times New Roman"/>
          <w:b/>
          <w:bCs/>
          <w:sz w:val="40"/>
          <w:szCs w:val="40"/>
        </w:rPr>
        <w:t>Ab</w:t>
      </w:r>
      <w:proofErr w:type="spellEnd"/>
      <w:r w:rsidRPr="00DA6DA5">
        <w:rPr>
          <w:rFonts w:ascii="Times New Roman" w:hAnsi="Times New Roman" w:cs="Times New Roman"/>
          <w:b/>
          <w:bCs/>
          <w:sz w:val="40"/>
          <w:szCs w:val="40"/>
        </w:rPr>
        <w:t xml:space="preserve"> s t r a c t:</w:t>
      </w:r>
    </w:p>
    <w:p w:rsidR="00DA6DA5" w:rsidRPr="00DA6DA5" w:rsidRDefault="00DA6DA5" w:rsidP="00DA6DA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2556" w:rsidRPr="00DA6DA5" w:rsidRDefault="00DA6DA5" w:rsidP="00DA6DA5">
      <w:pPr>
        <w:spacing w:line="600" w:lineRule="auto"/>
        <w:jc w:val="right"/>
        <w:rPr>
          <w:rFonts w:ascii="Times New Roman" w:hAnsi="Times New Roman" w:cs="Times New Roman"/>
          <w:sz w:val="28"/>
          <w:szCs w:val="28"/>
          <w:lang w:bidi="ar-EG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A6DA5">
        <w:rPr>
          <w:rFonts w:ascii="Times New Roman" w:hAnsi="Times New Roman" w:cs="Times New Roman"/>
          <w:sz w:val="28"/>
          <w:szCs w:val="28"/>
        </w:rPr>
        <w:t xml:space="preserve"> In recent years, the whole field of ion-selective </w:t>
      </w:r>
      <w:proofErr w:type="gramStart"/>
      <w:r w:rsidRPr="00DA6DA5">
        <w:rPr>
          <w:rFonts w:ascii="Times New Roman" w:hAnsi="Times New Roman" w:cs="Times New Roman"/>
          <w:sz w:val="28"/>
          <w:szCs w:val="28"/>
        </w:rPr>
        <w:t>electrodes(</w:t>
      </w:r>
      <w:proofErr w:type="gramEnd"/>
      <w:r w:rsidRPr="00DA6DA5">
        <w:rPr>
          <w:rFonts w:ascii="Times New Roman" w:hAnsi="Times New Roman" w:cs="Times New Roman"/>
          <w:sz w:val="28"/>
          <w:szCs w:val="28"/>
        </w:rPr>
        <w:t xml:space="preserve">ISEs) in pharmaceutical sciences has expanded far beyond its original roots. The diverse range of opportunities offered by ISEs was broadly used in a number of pharmaceutical applications, with topics presented ranging from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bioanalysis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of drugs and metabolites, to protein binding studies, green analytical chemistry, impurity profiling, and drug dissolution in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biorelevant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media. Inspired from these advances and with the aim of extending the functional capabilities of ISEs, the primary focus of the present paper is the utilization of ISE as a tool in personalized medicine. Given the opportunity to explore biological events in real-time (such as drug metabolism) could be central to personalized medicine. (ATR) is a chemo-degradable and bio-degradable pharmaceutically active drug.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Laudanosine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(LDS) is the major degradation product and metabolite of ATR and is potentially toxic and reported to possess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epileptogenic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</w:t>
      </w:r>
      <w:r w:rsidRPr="00DA6DA5">
        <w:rPr>
          <w:rFonts w:ascii="Times New Roman" w:hAnsi="Times New Roman" w:cs="Times New Roman"/>
          <w:sz w:val="28"/>
          <w:szCs w:val="28"/>
        </w:rPr>
        <w:lastRenderedPageBreak/>
        <w:t xml:space="preserve">activity which increases the risk of convulsive effects. In this work, ATR have been subjected to both chemical and biological hydrolysis, and the course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ofthe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6DA5">
        <w:rPr>
          <w:rFonts w:ascii="Times New Roman" w:hAnsi="Times New Roman" w:cs="Times New Roman"/>
          <w:sz w:val="28"/>
          <w:szCs w:val="28"/>
        </w:rPr>
        <w:t>reactions is</w:t>
      </w:r>
      <w:proofErr w:type="gramEnd"/>
      <w:r w:rsidRPr="00DA6DA5">
        <w:rPr>
          <w:rFonts w:ascii="Times New Roman" w:hAnsi="Times New Roman" w:cs="Times New Roman"/>
          <w:sz w:val="28"/>
          <w:szCs w:val="28"/>
        </w:rPr>
        <w:t xml:space="preserve"> monitored by means of a ISE. In this study, we have designed an efficient real-time tracking strategy which substantially resolve the challenges of the ATR chemical and biological degradation kinetics. By utilizing a </w:t>
      </w:r>
      <w:proofErr w:type="spellStart"/>
      <w:r w:rsidRPr="00DA6DA5">
        <w:rPr>
          <w:rFonts w:ascii="Times New Roman" w:hAnsi="Times New Roman" w:cs="Times New Roman"/>
          <w:sz w:val="28"/>
          <w:szCs w:val="28"/>
        </w:rPr>
        <w:t>potentiometric</w:t>
      </w:r>
      <w:proofErr w:type="spellEnd"/>
      <w:r w:rsidRPr="00DA6DA5">
        <w:rPr>
          <w:rFonts w:ascii="Times New Roman" w:hAnsi="Times New Roman" w:cs="Times New Roman"/>
          <w:sz w:val="28"/>
          <w:szCs w:val="28"/>
        </w:rPr>
        <w:t xml:space="preserve"> sensor, tracking of ATR chemical and biological degradation kinetics can be performed in a very short time with excellent accuracy. The LOD was calculated to be 0.23 mol L−1, the potential drift was investigated over a period of 60 min and the value was 0.25 mVh−1. </w:t>
      </w:r>
      <w:proofErr w:type="gramStart"/>
      <w:r w:rsidRPr="00DA6DA5">
        <w:rPr>
          <w:rFonts w:ascii="Times New Roman" w:hAnsi="Times New Roman" w:cs="Times New Roman"/>
          <w:sz w:val="28"/>
          <w:szCs w:val="28"/>
        </w:rPr>
        <w:t>Real serum samples for measurement the rate of in vitro metabolism of ATR was</w:t>
      </w:r>
      <w:proofErr w:type="gramEnd"/>
      <w:r w:rsidRPr="00DA6DA5">
        <w:rPr>
          <w:rFonts w:ascii="Times New Roman" w:hAnsi="Times New Roman" w:cs="Times New Roman"/>
          <w:sz w:val="28"/>
          <w:szCs w:val="28"/>
        </w:rPr>
        <w:t xml:space="preserve"> performed. Furthermore, a full description of the fabricated screen-pr</w:t>
      </w:r>
      <w:r>
        <w:rPr>
          <w:rFonts w:ascii="Times New Roman" w:hAnsi="Times New Roman" w:cs="Times New Roman"/>
          <w:sz w:val="28"/>
          <w:szCs w:val="28"/>
        </w:rPr>
        <w:t xml:space="preserve">inted sensor was presented. </w:t>
      </w:r>
    </w:p>
    <w:sectPr w:rsidR="00002556" w:rsidRPr="00DA6DA5" w:rsidSect="00B206E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6DA5"/>
    <w:rsid w:val="00002556"/>
    <w:rsid w:val="003848C0"/>
    <w:rsid w:val="00B206EF"/>
    <w:rsid w:val="00DA6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55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Ab s t r a c t</Template>
  <TotalTime>6</TotalTime>
  <Pages>2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الحمد</dc:creator>
  <cp:lastModifiedBy>الحمد</cp:lastModifiedBy>
  <cp:revision>1</cp:revision>
  <dcterms:created xsi:type="dcterms:W3CDTF">2018-03-23T13:58:00Z</dcterms:created>
  <dcterms:modified xsi:type="dcterms:W3CDTF">2018-03-23T14:04:00Z</dcterms:modified>
</cp:coreProperties>
</file>