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CD3" w:rsidRPr="004A0CD3" w:rsidRDefault="004A0CD3" w:rsidP="004A0CD3">
      <w:pPr>
        <w:jc w:val="center"/>
        <w:rPr>
          <w:rFonts w:asciiTheme="majorBidi" w:hAnsiTheme="majorBidi" w:cstheme="majorBidi"/>
          <w:b/>
          <w:bCs/>
          <w:sz w:val="28"/>
          <w:szCs w:val="28"/>
        </w:rPr>
      </w:pPr>
      <w:proofErr w:type="spellStart"/>
      <w:r w:rsidRPr="004A0CD3">
        <w:rPr>
          <w:rFonts w:asciiTheme="majorBidi" w:hAnsiTheme="majorBidi" w:cstheme="majorBidi"/>
          <w:b/>
          <w:bCs/>
          <w:sz w:val="28"/>
          <w:szCs w:val="28"/>
        </w:rPr>
        <w:t>Phytochemical</w:t>
      </w:r>
      <w:proofErr w:type="spellEnd"/>
      <w:r w:rsidRPr="004A0CD3">
        <w:rPr>
          <w:rFonts w:asciiTheme="majorBidi" w:hAnsiTheme="majorBidi" w:cstheme="majorBidi"/>
          <w:b/>
          <w:bCs/>
          <w:sz w:val="28"/>
          <w:szCs w:val="28"/>
        </w:rPr>
        <w:t xml:space="preserve"> and pharmacological study of volatile fractions from </w:t>
      </w:r>
      <w:r w:rsidRPr="004A0CD3">
        <w:rPr>
          <w:rFonts w:asciiTheme="majorBidi" w:hAnsiTheme="majorBidi" w:cstheme="majorBidi"/>
          <w:b/>
          <w:bCs/>
          <w:i/>
          <w:iCs/>
          <w:sz w:val="28"/>
          <w:szCs w:val="28"/>
        </w:rPr>
        <w:t xml:space="preserve">Eucalyptus </w:t>
      </w:r>
      <w:proofErr w:type="spellStart"/>
      <w:r w:rsidRPr="004A0CD3">
        <w:rPr>
          <w:rFonts w:asciiTheme="majorBidi" w:hAnsiTheme="majorBidi" w:cstheme="majorBidi"/>
          <w:b/>
          <w:bCs/>
          <w:i/>
          <w:iCs/>
          <w:sz w:val="28"/>
          <w:szCs w:val="28"/>
        </w:rPr>
        <w:t>camaldulensis</w:t>
      </w:r>
      <w:proofErr w:type="spellEnd"/>
      <w:r w:rsidRPr="004A0CD3">
        <w:rPr>
          <w:rFonts w:asciiTheme="majorBidi" w:hAnsiTheme="majorBidi" w:cstheme="majorBidi"/>
          <w:b/>
          <w:bCs/>
          <w:sz w:val="28"/>
          <w:szCs w:val="28"/>
        </w:rPr>
        <w:t xml:space="preserve"> leaves and their potent effects on isolated aortic and tracheal rings</w:t>
      </w:r>
    </w:p>
    <w:p w:rsidR="004A0CD3" w:rsidRPr="004A0CD3" w:rsidRDefault="004A0CD3" w:rsidP="004A0CD3">
      <w:pPr>
        <w:tabs>
          <w:tab w:val="left" w:pos="851"/>
        </w:tabs>
        <w:spacing w:after="0" w:line="240" w:lineRule="auto"/>
        <w:rPr>
          <w:rFonts w:asciiTheme="majorBidi" w:hAnsiTheme="majorBidi" w:cstheme="majorBidi"/>
          <w:bCs/>
          <w:sz w:val="24"/>
          <w:szCs w:val="24"/>
          <w:lang w:val="it-IT"/>
        </w:rPr>
      </w:pPr>
      <w:r w:rsidRPr="004A0CD3">
        <w:rPr>
          <w:rFonts w:asciiTheme="majorBidi" w:hAnsiTheme="majorBidi" w:cstheme="majorBidi"/>
          <w:b/>
          <w:bCs/>
          <w:i/>
          <w:sz w:val="24"/>
          <w:szCs w:val="24"/>
        </w:rPr>
        <w:tab/>
      </w:r>
      <w:r w:rsidRPr="004A0CD3">
        <w:rPr>
          <w:rFonts w:asciiTheme="majorBidi" w:hAnsiTheme="majorBidi" w:cstheme="majorBidi"/>
          <w:bCs/>
          <w:sz w:val="24"/>
          <w:szCs w:val="24"/>
          <w:lang w:val="it-IT"/>
        </w:rPr>
        <w:t>Dlzar A. Kheder,</w:t>
      </w:r>
      <w:r w:rsidRPr="004A0CD3">
        <w:rPr>
          <w:rFonts w:asciiTheme="majorBidi" w:hAnsiTheme="majorBidi" w:cstheme="majorBidi"/>
          <w:bCs/>
          <w:sz w:val="24"/>
          <w:szCs w:val="24"/>
          <w:vertAlign w:val="superscript"/>
          <w:lang w:val="it-IT"/>
        </w:rPr>
        <w:t>1,2</w:t>
      </w:r>
      <w:r w:rsidRPr="004A0CD3">
        <w:rPr>
          <w:rFonts w:asciiTheme="majorBidi" w:hAnsiTheme="majorBidi" w:cstheme="majorBidi"/>
          <w:bCs/>
          <w:sz w:val="24"/>
          <w:szCs w:val="24"/>
          <w:lang w:val="it-IT"/>
        </w:rPr>
        <w:t xml:space="preserve"> Omar A. M. Al-Habib,</w:t>
      </w:r>
      <w:r w:rsidRPr="004A0CD3">
        <w:rPr>
          <w:rFonts w:asciiTheme="majorBidi" w:hAnsiTheme="majorBidi" w:cstheme="majorBidi"/>
          <w:bCs/>
          <w:sz w:val="24"/>
          <w:szCs w:val="24"/>
          <w:vertAlign w:val="superscript"/>
          <w:lang w:val="it-IT"/>
        </w:rPr>
        <w:t xml:space="preserve">1 </w:t>
      </w:r>
      <w:r w:rsidRPr="004A0CD3">
        <w:rPr>
          <w:rFonts w:asciiTheme="majorBidi" w:hAnsiTheme="majorBidi" w:cstheme="majorBidi"/>
          <w:bCs/>
          <w:sz w:val="24"/>
          <w:szCs w:val="24"/>
          <w:lang w:val="it-IT"/>
        </w:rPr>
        <w:t>Gianluca Gilardoni,</w:t>
      </w:r>
      <w:r w:rsidRPr="004A0CD3">
        <w:rPr>
          <w:rFonts w:asciiTheme="majorBidi" w:hAnsiTheme="majorBidi" w:cstheme="majorBidi"/>
          <w:bCs/>
          <w:sz w:val="24"/>
          <w:szCs w:val="24"/>
          <w:vertAlign w:val="superscript"/>
          <w:lang w:val="it-IT"/>
        </w:rPr>
        <w:t xml:space="preserve">2,3 </w:t>
      </w:r>
      <w:r w:rsidRPr="004A0CD3">
        <w:rPr>
          <w:rFonts w:asciiTheme="majorBidi" w:hAnsiTheme="majorBidi" w:cstheme="majorBidi"/>
          <w:bCs/>
          <w:sz w:val="24"/>
          <w:szCs w:val="24"/>
          <w:lang w:val="it-IT"/>
        </w:rPr>
        <w:t>Giovani Vidari</w:t>
      </w:r>
      <w:r w:rsidRPr="004A0CD3">
        <w:rPr>
          <w:rFonts w:asciiTheme="majorBidi" w:hAnsiTheme="majorBidi" w:cstheme="majorBidi"/>
          <w:bCs/>
          <w:sz w:val="24"/>
          <w:szCs w:val="24"/>
          <w:vertAlign w:val="superscript"/>
          <w:lang w:val="it-IT"/>
        </w:rPr>
        <w:t>2</w:t>
      </w:r>
      <w:r w:rsidRPr="004A0CD3">
        <w:rPr>
          <w:rFonts w:asciiTheme="majorBidi" w:hAnsiTheme="majorBidi" w:cstheme="majorBidi"/>
          <w:bCs/>
          <w:sz w:val="24"/>
          <w:szCs w:val="24"/>
          <w:lang w:val="it-IT"/>
        </w:rPr>
        <w:t xml:space="preserve">    </w:t>
      </w:r>
    </w:p>
    <w:p w:rsidR="004A0CD3" w:rsidRPr="004A0CD3" w:rsidRDefault="004A0CD3" w:rsidP="004A0CD3">
      <w:pPr>
        <w:tabs>
          <w:tab w:val="left" w:pos="851"/>
        </w:tabs>
        <w:spacing w:after="0" w:line="240" w:lineRule="auto"/>
        <w:rPr>
          <w:rFonts w:asciiTheme="majorBidi" w:hAnsiTheme="majorBidi" w:cstheme="majorBidi"/>
          <w:bCs/>
          <w:sz w:val="24"/>
          <w:szCs w:val="24"/>
          <w:lang w:val="it-IT"/>
        </w:rPr>
      </w:pPr>
      <w:r w:rsidRPr="004A0CD3">
        <w:rPr>
          <w:rFonts w:asciiTheme="majorBidi" w:hAnsiTheme="majorBidi" w:cstheme="majorBidi"/>
          <w:bCs/>
          <w:sz w:val="24"/>
          <w:szCs w:val="24"/>
          <w:lang w:val="it-IT"/>
        </w:rPr>
        <w:t xml:space="preserve"> </w:t>
      </w:r>
    </w:p>
    <w:p w:rsidR="004A0CD3" w:rsidRPr="004A0CD3" w:rsidRDefault="004A0CD3" w:rsidP="004A0CD3">
      <w:pPr>
        <w:spacing w:after="0" w:line="240" w:lineRule="auto"/>
        <w:jc w:val="center"/>
        <w:rPr>
          <w:rFonts w:asciiTheme="majorBidi" w:hAnsiTheme="majorBidi" w:cstheme="majorBidi"/>
          <w:i/>
          <w:sz w:val="24"/>
          <w:szCs w:val="24"/>
        </w:rPr>
      </w:pPr>
      <w:r w:rsidRPr="004A0CD3">
        <w:rPr>
          <w:rFonts w:asciiTheme="majorBidi" w:hAnsiTheme="majorBidi" w:cstheme="majorBidi"/>
          <w:i/>
          <w:sz w:val="24"/>
          <w:szCs w:val="24"/>
          <w:vertAlign w:val="superscript"/>
        </w:rPr>
        <w:t>1</w:t>
      </w:r>
      <w:r w:rsidRPr="004A0CD3">
        <w:rPr>
          <w:rFonts w:asciiTheme="majorBidi" w:hAnsiTheme="majorBidi" w:cstheme="majorBidi"/>
          <w:i/>
          <w:sz w:val="24"/>
          <w:szCs w:val="24"/>
        </w:rPr>
        <w:t xml:space="preserve">Biology Department, Faculty of Science, University of </w:t>
      </w:r>
      <w:proofErr w:type="spellStart"/>
      <w:r w:rsidRPr="004A0CD3">
        <w:rPr>
          <w:rFonts w:asciiTheme="majorBidi" w:hAnsiTheme="majorBidi" w:cstheme="majorBidi"/>
          <w:i/>
          <w:sz w:val="24"/>
          <w:szCs w:val="24"/>
        </w:rPr>
        <w:t>Zakho</w:t>
      </w:r>
      <w:proofErr w:type="spellEnd"/>
      <w:r w:rsidRPr="004A0CD3">
        <w:rPr>
          <w:rFonts w:asciiTheme="majorBidi" w:hAnsiTheme="majorBidi" w:cstheme="majorBidi"/>
          <w:i/>
          <w:sz w:val="24"/>
          <w:szCs w:val="24"/>
        </w:rPr>
        <w:t>, Kurdistan Region, Iraq</w:t>
      </w:r>
    </w:p>
    <w:p w:rsidR="004A0CD3" w:rsidRPr="004A0CD3" w:rsidRDefault="004A0CD3" w:rsidP="004A0CD3">
      <w:pPr>
        <w:spacing w:after="0" w:line="240" w:lineRule="auto"/>
        <w:jc w:val="center"/>
        <w:rPr>
          <w:rFonts w:asciiTheme="majorBidi" w:hAnsiTheme="majorBidi" w:cstheme="majorBidi"/>
          <w:i/>
          <w:sz w:val="24"/>
          <w:szCs w:val="24"/>
        </w:rPr>
      </w:pPr>
      <w:r w:rsidRPr="004A0CD3">
        <w:rPr>
          <w:rFonts w:asciiTheme="majorBidi" w:hAnsiTheme="majorBidi" w:cstheme="majorBidi"/>
          <w:i/>
          <w:sz w:val="24"/>
          <w:szCs w:val="24"/>
          <w:vertAlign w:val="superscript"/>
        </w:rPr>
        <w:t>2</w:t>
      </w:r>
      <w:r w:rsidRPr="004A0CD3">
        <w:rPr>
          <w:rFonts w:asciiTheme="majorBidi" w:hAnsiTheme="majorBidi" w:cstheme="majorBidi"/>
          <w:i/>
          <w:sz w:val="24"/>
          <w:szCs w:val="24"/>
        </w:rPr>
        <w:t>Department of Chemistry and Centre CEMEC, University of Pavia, Italy</w:t>
      </w:r>
    </w:p>
    <w:p w:rsidR="004A0CD3" w:rsidRPr="004A0CD3" w:rsidRDefault="004A0CD3" w:rsidP="004A0CD3">
      <w:pPr>
        <w:spacing w:line="240" w:lineRule="auto"/>
        <w:jc w:val="center"/>
        <w:rPr>
          <w:rFonts w:ascii="Times New Roman" w:hAnsi="Times New Roman" w:cs="Times New Roman"/>
          <w:i/>
          <w:sz w:val="24"/>
          <w:szCs w:val="24"/>
        </w:rPr>
      </w:pPr>
      <w:r w:rsidRPr="004A0CD3">
        <w:rPr>
          <w:rFonts w:ascii="Times New Roman" w:hAnsi="Times New Roman" w:cs="Times New Roman"/>
          <w:i/>
          <w:sz w:val="24"/>
          <w:szCs w:val="24"/>
          <w:vertAlign w:val="superscript"/>
        </w:rPr>
        <w:t>3</w:t>
      </w:r>
      <w:r w:rsidRPr="004A0CD3">
        <w:rPr>
          <w:rFonts w:ascii="Times New Roman" w:hAnsi="Times New Roman" w:cs="Times New Roman"/>
          <w:i/>
          <w:sz w:val="24"/>
          <w:szCs w:val="24"/>
        </w:rPr>
        <w:t xml:space="preserve">Departamento de </w:t>
      </w:r>
      <w:proofErr w:type="spellStart"/>
      <w:r w:rsidRPr="004A0CD3">
        <w:rPr>
          <w:rFonts w:ascii="Times New Roman" w:hAnsi="Times New Roman" w:cs="Times New Roman"/>
          <w:i/>
          <w:sz w:val="24"/>
          <w:szCs w:val="24"/>
        </w:rPr>
        <w:t>Química</w:t>
      </w:r>
      <w:proofErr w:type="spellEnd"/>
      <w:r w:rsidRPr="004A0CD3">
        <w:rPr>
          <w:rFonts w:ascii="Times New Roman" w:hAnsi="Times New Roman" w:cs="Times New Roman"/>
          <w:i/>
          <w:sz w:val="24"/>
          <w:szCs w:val="24"/>
        </w:rPr>
        <w:t xml:space="preserve"> y </w:t>
      </w:r>
      <w:proofErr w:type="spellStart"/>
      <w:r w:rsidRPr="004A0CD3">
        <w:rPr>
          <w:rFonts w:ascii="Times New Roman" w:hAnsi="Times New Roman" w:cs="Times New Roman"/>
          <w:i/>
          <w:sz w:val="24"/>
          <w:szCs w:val="24"/>
        </w:rPr>
        <w:t>Ciencias</w:t>
      </w:r>
      <w:proofErr w:type="spellEnd"/>
      <w:r w:rsidRPr="004A0CD3">
        <w:rPr>
          <w:rFonts w:ascii="Times New Roman" w:hAnsi="Times New Roman" w:cs="Times New Roman"/>
          <w:i/>
          <w:sz w:val="24"/>
          <w:szCs w:val="24"/>
        </w:rPr>
        <w:t xml:space="preserve"> Exactas, Universidad </w:t>
      </w:r>
      <w:proofErr w:type="spellStart"/>
      <w:r w:rsidRPr="004A0CD3">
        <w:rPr>
          <w:rFonts w:ascii="Times New Roman" w:hAnsi="Times New Roman" w:cs="Times New Roman"/>
          <w:i/>
          <w:sz w:val="24"/>
          <w:szCs w:val="24"/>
        </w:rPr>
        <w:t>Técnica</w:t>
      </w:r>
      <w:proofErr w:type="spellEnd"/>
      <w:r w:rsidRPr="004A0CD3">
        <w:rPr>
          <w:rFonts w:ascii="Times New Roman" w:hAnsi="Times New Roman" w:cs="Times New Roman"/>
          <w:i/>
          <w:sz w:val="24"/>
          <w:szCs w:val="24"/>
        </w:rPr>
        <w:t xml:space="preserve"> Particular de Loja, San </w:t>
      </w:r>
      <w:proofErr w:type="spellStart"/>
      <w:r w:rsidRPr="004A0CD3">
        <w:rPr>
          <w:rFonts w:ascii="Times New Roman" w:hAnsi="Times New Roman" w:cs="Times New Roman"/>
          <w:i/>
          <w:sz w:val="24"/>
          <w:szCs w:val="24"/>
        </w:rPr>
        <w:t>Cayetano</w:t>
      </w:r>
      <w:proofErr w:type="spellEnd"/>
      <w:r w:rsidRPr="004A0CD3">
        <w:rPr>
          <w:rFonts w:ascii="Times New Roman" w:hAnsi="Times New Roman" w:cs="Times New Roman"/>
          <w:i/>
          <w:sz w:val="24"/>
          <w:szCs w:val="24"/>
        </w:rPr>
        <w:t xml:space="preserve"> Alto s/n, Loja, Ecuador</w:t>
      </w:r>
    </w:p>
    <w:p w:rsidR="004A0CD3" w:rsidRPr="004A0CD3" w:rsidRDefault="004A0CD3" w:rsidP="004A0CD3">
      <w:pPr>
        <w:rPr>
          <w:rFonts w:asciiTheme="majorBidi" w:hAnsiTheme="majorBidi" w:cstheme="majorBidi"/>
          <w:b/>
          <w:bCs/>
          <w:sz w:val="24"/>
          <w:szCs w:val="24"/>
        </w:rPr>
      </w:pPr>
    </w:p>
    <w:p w:rsidR="004A0CD3" w:rsidRPr="004A0CD3" w:rsidRDefault="004A0CD3" w:rsidP="004A0CD3">
      <w:pPr>
        <w:rPr>
          <w:rFonts w:asciiTheme="majorBidi" w:hAnsiTheme="majorBidi" w:cstheme="majorBidi"/>
          <w:sz w:val="24"/>
          <w:szCs w:val="24"/>
        </w:rPr>
      </w:pPr>
      <w:r w:rsidRPr="004A0CD3">
        <w:rPr>
          <w:rFonts w:asciiTheme="majorBidi" w:hAnsiTheme="majorBidi" w:cstheme="majorBidi"/>
          <w:b/>
          <w:bCs/>
          <w:sz w:val="24"/>
          <w:szCs w:val="24"/>
        </w:rPr>
        <w:t>Abstract</w:t>
      </w:r>
    </w:p>
    <w:p w:rsidR="004A0CD3" w:rsidRPr="004A0CD3" w:rsidRDefault="004A0CD3" w:rsidP="004A0CD3">
      <w:pPr>
        <w:spacing w:line="240" w:lineRule="auto"/>
        <w:jc w:val="both"/>
        <w:rPr>
          <w:rFonts w:asciiTheme="majorBidi" w:hAnsiTheme="majorBidi" w:cstheme="majorBidi"/>
          <w:sz w:val="24"/>
          <w:szCs w:val="24"/>
        </w:rPr>
      </w:pPr>
      <w:r w:rsidRPr="004A0CD3">
        <w:rPr>
          <w:rFonts w:asciiTheme="majorBidi" w:hAnsiTheme="majorBidi" w:cstheme="majorBidi"/>
          <w:sz w:val="24"/>
          <w:szCs w:val="24"/>
        </w:rPr>
        <w:t>The current study represents the first complete report on constituents of different volatile fractions (VF) from</w:t>
      </w:r>
      <w:r w:rsidRPr="004A0CD3">
        <w:rPr>
          <w:rFonts w:asciiTheme="majorBidi" w:hAnsiTheme="majorBidi" w:cstheme="majorBidi"/>
          <w:i/>
          <w:iCs/>
          <w:sz w:val="24"/>
          <w:szCs w:val="24"/>
        </w:rPr>
        <w:t xml:space="preserve"> Eucalyptus </w:t>
      </w:r>
      <w:proofErr w:type="spellStart"/>
      <w:r w:rsidRPr="004A0CD3">
        <w:rPr>
          <w:rFonts w:asciiTheme="majorBidi" w:hAnsiTheme="majorBidi" w:cstheme="majorBidi"/>
          <w:i/>
          <w:iCs/>
          <w:sz w:val="24"/>
          <w:szCs w:val="24"/>
        </w:rPr>
        <w:t>camaldulensis</w:t>
      </w:r>
      <w:proofErr w:type="spellEnd"/>
      <w:r w:rsidRPr="004A0CD3">
        <w:rPr>
          <w:rFonts w:asciiTheme="majorBidi" w:hAnsiTheme="majorBidi" w:cstheme="majorBidi"/>
          <w:sz w:val="24"/>
          <w:szCs w:val="24"/>
        </w:rPr>
        <w:t xml:space="preserve"> leaves, as well as their effects on isolated aortic and tracheal rings. Four different volatile fractions obtained by </w:t>
      </w:r>
      <w:proofErr w:type="spellStart"/>
      <w:r w:rsidRPr="004A0CD3">
        <w:rPr>
          <w:rFonts w:asciiTheme="majorBidi" w:hAnsiTheme="majorBidi" w:cstheme="majorBidi"/>
          <w:sz w:val="24"/>
          <w:szCs w:val="24"/>
        </w:rPr>
        <w:t>hydrodistillation</w:t>
      </w:r>
      <w:proofErr w:type="spellEnd"/>
      <w:r w:rsidRPr="004A0CD3">
        <w:rPr>
          <w:rFonts w:asciiTheme="majorBidi" w:hAnsiTheme="majorBidi" w:cstheme="majorBidi"/>
          <w:sz w:val="24"/>
          <w:szCs w:val="24"/>
        </w:rPr>
        <w:t xml:space="preserve"> (VF</w:t>
      </w:r>
      <w:r w:rsidRPr="004A0CD3">
        <w:rPr>
          <w:rFonts w:asciiTheme="majorBidi" w:hAnsiTheme="majorBidi" w:cstheme="majorBidi"/>
          <w:sz w:val="24"/>
          <w:szCs w:val="24"/>
          <w:vertAlign w:val="subscript"/>
        </w:rPr>
        <w:t>S</w:t>
      </w:r>
      <w:r w:rsidRPr="004A0CD3">
        <w:rPr>
          <w:rFonts w:asciiTheme="majorBidi" w:hAnsiTheme="majorBidi" w:cstheme="majorBidi"/>
          <w:sz w:val="24"/>
          <w:szCs w:val="24"/>
        </w:rPr>
        <w:t>, VF</w:t>
      </w:r>
      <w:r w:rsidRPr="004A0CD3">
        <w:rPr>
          <w:rFonts w:asciiTheme="majorBidi" w:hAnsiTheme="majorBidi" w:cstheme="majorBidi"/>
          <w:sz w:val="24"/>
          <w:szCs w:val="24"/>
          <w:vertAlign w:val="subscript"/>
        </w:rPr>
        <w:t>W</w:t>
      </w:r>
      <w:r w:rsidRPr="004A0CD3">
        <w:rPr>
          <w:rFonts w:asciiTheme="majorBidi" w:hAnsiTheme="majorBidi" w:cstheme="majorBidi"/>
          <w:sz w:val="24"/>
          <w:szCs w:val="24"/>
        </w:rPr>
        <w:t>, VF</w:t>
      </w:r>
      <w:r w:rsidRPr="004A0CD3">
        <w:rPr>
          <w:rFonts w:asciiTheme="majorBidi" w:hAnsiTheme="majorBidi" w:cstheme="majorBidi"/>
          <w:sz w:val="24"/>
          <w:szCs w:val="24"/>
          <w:vertAlign w:val="subscript"/>
        </w:rPr>
        <w:t>A</w:t>
      </w:r>
      <w:r w:rsidRPr="004A0CD3">
        <w:rPr>
          <w:rFonts w:asciiTheme="majorBidi" w:hAnsiTheme="majorBidi" w:cstheme="majorBidi"/>
          <w:sz w:val="24"/>
          <w:szCs w:val="24"/>
        </w:rPr>
        <w:t xml:space="preserve"> and </w:t>
      </w:r>
      <w:proofErr w:type="spellStart"/>
      <w:r w:rsidRPr="004A0CD3">
        <w:rPr>
          <w:rFonts w:asciiTheme="majorBidi" w:hAnsiTheme="majorBidi" w:cstheme="majorBidi"/>
          <w:sz w:val="24"/>
          <w:szCs w:val="24"/>
        </w:rPr>
        <w:t>VF</w:t>
      </w:r>
      <w:r w:rsidRPr="004A0CD3">
        <w:rPr>
          <w:rFonts w:asciiTheme="majorBidi" w:hAnsiTheme="majorBidi" w:cstheme="majorBidi"/>
          <w:sz w:val="24"/>
          <w:szCs w:val="24"/>
          <w:vertAlign w:val="subscript"/>
        </w:rPr>
        <w:t>Ar</w:t>
      </w:r>
      <w:proofErr w:type="spellEnd"/>
      <w:r w:rsidRPr="004A0CD3">
        <w:rPr>
          <w:rFonts w:asciiTheme="majorBidi" w:hAnsiTheme="majorBidi" w:cstheme="majorBidi"/>
          <w:sz w:val="24"/>
          <w:szCs w:val="24"/>
        </w:rPr>
        <w:t xml:space="preserve">) showed different qualitative and quantitative compositions, though the major constituents in all the four samples were </w:t>
      </w:r>
      <w:proofErr w:type="spellStart"/>
      <w:r w:rsidRPr="004A0CD3">
        <w:rPr>
          <w:rFonts w:asciiTheme="majorBidi" w:hAnsiTheme="majorBidi" w:cstheme="majorBidi"/>
          <w:sz w:val="24"/>
          <w:szCs w:val="24"/>
        </w:rPr>
        <w:t>monoterpenes</w:t>
      </w:r>
      <w:proofErr w:type="spellEnd"/>
      <w:r w:rsidRPr="004A0CD3">
        <w:rPr>
          <w:rFonts w:asciiTheme="majorBidi" w:hAnsiTheme="majorBidi" w:cstheme="majorBidi"/>
          <w:sz w:val="24"/>
          <w:szCs w:val="24"/>
        </w:rPr>
        <w:t xml:space="preserve">. The different VF induced </w:t>
      </w:r>
      <w:proofErr w:type="spellStart"/>
      <w:r w:rsidRPr="004A0CD3">
        <w:rPr>
          <w:rFonts w:asciiTheme="majorBidi" w:hAnsiTheme="majorBidi" w:cstheme="majorBidi"/>
          <w:sz w:val="24"/>
          <w:szCs w:val="24"/>
        </w:rPr>
        <w:t>vasorelaxation</w:t>
      </w:r>
      <w:proofErr w:type="spellEnd"/>
      <w:r w:rsidRPr="004A0CD3">
        <w:rPr>
          <w:rFonts w:asciiTheme="majorBidi" w:hAnsiTheme="majorBidi" w:cstheme="majorBidi"/>
          <w:sz w:val="24"/>
          <w:szCs w:val="24"/>
        </w:rPr>
        <w:t xml:space="preserve"> in concentration-dependent manner on isolated aortic rings. Both 1,8-cineol and VF produced a potent relaxation in rat tracheal rings </w:t>
      </w:r>
      <w:proofErr w:type="spellStart"/>
      <w:r w:rsidRPr="004A0CD3">
        <w:rPr>
          <w:rFonts w:asciiTheme="majorBidi" w:hAnsiTheme="majorBidi" w:cstheme="majorBidi"/>
          <w:sz w:val="24"/>
          <w:szCs w:val="24"/>
        </w:rPr>
        <w:t>precontracted</w:t>
      </w:r>
      <w:proofErr w:type="spellEnd"/>
      <w:r w:rsidRPr="004A0CD3">
        <w:rPr>
          <w:rFonts w:asciiTheme="majorBidi" w:hAnsiTheme="majorBidi" w:cstheme="majorBidi"/>
          <w:sz w:val="24"/>
          <w:szCs w:val="24"/>
        </w:rPr>
        <w:t xml:space="preserve"> with </w:t>
      </w:r>
      <w:proofErr w:type="spellStart"/>
      <w:r w:rsidRPr="004A0CD3">
        <w:rPr>
          <w:rFonts w:asciiTheme="majorBidi" w:hAnsiTheme="majorBidi" w:cstheme="majorBidi"/>
          <w:sz w:val="24"/>
          <w:szCs w:val="24"/>
        </w:rPr>
        <w:t>ACh</w:t>
      </w:r>
      <w:proofErr w:type="spellEnd"/>
      <w:r w:rsidRPr="004A0CD3">
        <w:rPr>
          <w:rFonts w:asciiTheme="majorBidi" w:hAnsiTheme="majorBidi" w:cstheme="majorBidi"/>
          <w:sz w:val="24"/>
          <w:szCs w:val="24"/>
        </w:rPr>
        <w:t xml:space="preserve">, whereas the relaxant effect of VFs on tracheal rings pretreated with </w:t>
      </w:r>
      <w:proofErr w:type="spellStart"/>
      <w:r w:rsidRPr="004A0CD3">
        <w:rPr>
          <w:rFonts w:asciiTheme="majorBidi" w:hAnsiTheme="majorBidi" w:cstheme="majorBidi"/>
          <w:sz w:val="24"/>
          <w:szCs w:val="24"/>
        </w:rPr>
        <w:t>nifedipine</w:t>
      </w:r>
      <w:proofErr w:type="spellEnd"/>
      <w:r w:rsidRPr="004A0CD3">
        <w:rPr>
          <w:rFonts w:asciiTheme="majorBidi" w:hAnsiTheme="majorBidi" w:cstheme="majorBidi"/>
          <w:sz w:val="24"/>
          <w:szCs w:val="24"/>
        </w:rPr>
        <w:t xml:space="preserve"> was significantly inhibited. Pretreatment of tracheal rings with TEA and L-NAME did not alter dose-dependent relaxation. These results suggested that </w:t>
      </w:r>
      <w:proofErr w:type="spellStart"/>
      <w:r w:rsidRPr="004A0CD3">
        <w:rPr>
          <w:rFonts w:asciiTheme="majorBidi" w:hAnsiTheme="majorBidi" w:cstheme="majorBidi"/>
          <w:sz w:val="24"/>
          <w:szCs w:val="24"/>
        </w:rPr>
        <w:t>K</w:t>
      </w:r>
      <w:r w:rsidRPr="004A0CD3">
        <w:rPr>
          <w:rFonts w:asciiTheme="majorBidi" w:hAnsiTheme="majorBidi" w:cstheme="majorBidi"/>
          <w:sz w:val="24"/>
          <w:szCs w:val="24"/>
          <w:vertAlign w:val="subscript"/>
        </w:rPr>
        <w:t>Ca</w:t>
      </w:r>
      <w:proofErr w:type="spellEnd"/>
      <w:r w:rsidRPr="004A0CD3">
        <w:rPr>
          <w:rFonts w:asciiTheme="majorBidi" w:hAnsiTheme="majorBidi" w:cstheme="majorBidi"/>
          <w:sz w:val="24"/>
          <w:szCs w:val="24"/>
        </w:rPr>
        <w:t xml:space="preserve"> channel and NO pathway were not involved in the relaxation on tracheal rings induced by VFs. Further, there was no relaxant effect induced by cumulative additions of VFs samples to tracheal rings </w:t>
      </w:r>
      <w:proofErr w:type="spellStart"/>
      <w:r w:rsidRPr="004A0CD3">
        <w:rPr>
          <w:rFonts w:asciiTheme="majorBidi" w:hAnsiTheme="majorBidi" w:cstheme="majorBidi"/>
          <w:sz w:val="24"/>
          <w:szCs w:val="24"/>
        </w:rPr>
        <w:t>preincubated</w:t>
      </w:r>
      <w:proofErr w:type="spellEnd"/>
      <w:r w:rsidRPr="004A0CD3">
        <w:rPr>
          <w:rFonts w:asciiTheme="majorBidi" w:hAnsiTheme="majorBidi" w:cstheme="majorBidi"/>
          <w:sz w:val="24"/>
          <w:szCs w:val="24"/>
        </w:rPr>
        <w:t xml:space="preserve"> with the Ca</w:t>
      </w:r>
      <w:r w:rsidRPr="004A0CD3">
        <w:rPr>
          <w:rFonts w:asciiTheme="majorBidi" w:hAnsiTheme="majorBidi" w:cstheme="majorBidi"/>
          <w:sz w:val="24"/>
          <w:szCs w:val="24"/>
          <w:vertAlign w:val="superscript"/>
        </w:rPr>
        <w:t>2+</w:t>
      </w:r>
      <w:r w:rsidRPr="004A0CD3">
        <w:rPr>
          <w:rFonts w:asciiTheme="majorBidi" w:hAnsiTheme="majorBidi" w:cstheme="majorBidi"/>
          <w:sz w:val="24"/>
          <w:szCs w:val="24"/>
        </w:rPr>
        <w:t xml:space="preserve"> channel blocker </w:t>
      </w:r>
      <w:proofErr w:type="spellStart"/>
      <w:r w:rsidRPr="004A0CD3">
        <w:rPr>
          <w:rFonts w:asciiTheme="majorBidi" w:hAnsiTheme="majorBidi" w:cstheme="majorBidi"/>
          <w:sz w:val="24"/>
          <w:szCs w:val="24"/>
        </w:rPr>
        <w:t>nifedipine</w:t>
      </w:r>
      <w:proofErr w:type="spellEnd"/>
      <w:r w:rsidRPr="004A0CD3">
        <w:rPr>
          <w:rFonts w:asciiTheme="majorBidi" w:hAnsiTheme="majorBidi" w:cstheme="majorBidi"/>
          <w:sz w:val="24"/>
          <w:szCs w:val="24"/>
        </w:rPr>
        <w:t>, indicating the participation of Ca</w:t>
      </w:r>
      <w:r w:rsidRPr="004A0CD3">
        <w:rPr>
          <w:rFonts w:asciiTheme="majorBidi" w:hAnsiTheme="majorBidi" w:cstheme="majorBidi"/>
          <w:sz w:val="24"/>
          <w:szCs w:val="24"/>
          <w:vertAlign w:val="superscript"/>
        </w:rPr>
        <w:t>2+</w:t>
      </w:r>
      <w:r w:rsidRPr="004A0CD3">
        <w:rPr>
          <w:rFonts w:asciiTheme="majorBidi" w:hAnsiTheme="majorBidi" w:cstheme="majorBidi"/>
          <w:sz w:val="24"/>
          <w:szCs w:val="24"/>
        </w:rPr>
        <w:t xml:space="preserve"> channels.</w:t>
      </w:r>
    </w:p>
    <w:p w:rsidR="004A0CD3" w:rsidRPr="002C311F" w:rsidRDefault="004A0CD3" w:rsidP="004A0CD3">
      <w:pPr>
        <w:spacing w:line="240" w:lineRule="auto"/>
        <w:jc w:val="both"/>
        <w:rPr>
          <w:rFonts w:asciiTheme="majorBidi" w:hAnsiTheme="majorBidi" w:cstheme="majorBidi"/>
          <w:i/>
          <w:iCs/>
          <w:sz w:val="24"/>
          <w:szCs w:val="24"/>
        </w:rPr>
      </w:pPr>
      <w:r w:rsidRPr="004A0CD3">
        <w:rPr>
          <w:rFonts w:asciiTheme="majorBidi" w:hAnsiTheme="majorBidi" w:cstheme="majorBidi"/>
          <w:i/>
          <w:iCs/>
          <w:sz w:val="24"/>
          <w:szCs w:val="24"/>
        </w:rPr>
        <w:t xml:space="preserve">Keywords: Eucalyptus </w:t>
      </w:r>
      <w:proofErr w:type="spellStart"/>
      <w:r w:rsidRPr="004A0CD3">
        <w:rPr>
          <w:rFonts w:asciiTheme="majorBidi" w:hAnsiTheme="majorBidi" w:cstheme="majorBidi"/>
          <w:i/>
          <w:iCs/>
          <w:sz w:val="24"/>
          <w:szCs w:val="24"/>
        </w:rPr>
        <w:t>camaldulensis</w:t>
      </w:r>
      <w:proofErr w:type="spellEnd"/>
      <w:r w:rsidRPr="004A0CD3">
        <w:rPr>
          <w:rFonts w:asciiTheme="majorBidi" w:hAnsiTheme="majorBidi" w:cstheme="majorBidi"/>
          <w:i/>
          <w:iCs/>
          <w:sz w:val="24"/>
          <w:szCs w:val="24"/>
        </w:rPr>
        <w:t>, volatile fractions, GC/GC-MS, K+ channels, Ca</w:t>
      </w:r>
      <w:r w:rsidRPr="004A0CD3">
        <w:rPr>
          <w:rFonts w:asciiTheme="majorBidi" w:hAnsiTheme="majorBidi" w:cstheme="majorBidi"/>
          <w:i/>
          <w:iCs/>
          <w:sz w:val="24"/>
          <w:szCs w:val="24"/>
          <w:vertAlign w:val="superscript"/>
        </w:rPr>
        <w:t>2+</w:t>
      </w:r>
      <w:r w:rsidRPr="004A0CD3">
        <w:rPr>
          <w:rFonts w:asciiTheme="majorBidi" w:hAnsiTheme="majorBidi" w:cstheme="majorBidi"/>
          <w:i/>
          <w:iCs/>
          <w:sz w:val="24"/>
          <w:szCs w:val="24"/>
        </w:rPr>
        <w:t xml:space="preserve"> channels,</w:t>
      </w:r>
      <w:r w:rsidRPr="004A0CD3">
        <w:rPr>
          <w:rFonts w:asciiTheme="majorBidi" w:hAnsiTheme="majorBidi" w:cstheme="majorBidi"/>
          <w:sz w:val="24"/>
          <w:szCs w:val="24"/>
        </w:rPr>
        <w:t xml:space="preserve"> </w:t>
      </w:r>
      <w:r w:rsidRPr="004A0CD3">
        <w:rPr>
          <w:rFonts w:asciiTheme="majorBidi" w:hAnsiTheme="majorBidi" w:cstheme="majorBidi"/>
          <w:i/>
          <w:sz w:val="24"/>
          <w:szCs w:val="24"/>
        </w:rPr>
        <w:t>tracheal ring</w:t>
      </w:r>
      <w:r w:rsidRPr="004A0CD3">
        <w:rPr>
          <w:rFonts w:asciiTheme="majorBidi" w:hAnsiTheme="majorBidi" w:cstheme="majorBidi"/>
          <w:i/>
          <w:iCs/>
          <w:sz w:val="24"/>
          <w:szCs w:val="24"/>
        </w:rPr>
        <w:t xml:space="preserve"> relaxation</w:t>
      </w:r>
    </w:p>
    <w:p w:rsidR="005664CD" w:rsidRDefault="005664CD"/>
    <w:sectPr w:rsidR="005664CD" w:rsidSect="005664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4A0CD3"/>
    <w:rsid w:val="004A0CD3"/>
    <w:rsid w:val="005664CD"/>
    <w:rsid w:val="005F4B5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C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1548</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Dlzar</dc:creator>
  <cp:keywords/>
  <dc:description/>
  <cp:lastModifiedBy>Dlzar</cp:lastModifiedBy>
  <cp:revision>2</cp:revision>
  <dcterms:created xsi:type="dcterms:W3CDTF">2017-05-26T11:14:00Z</dcterms:created>
  <dcterms:modified xsi:type="dcterms:W3CDTF">2017-05-26T11:14:00Z</dcterms:modified>
</cp:coreProperties>
</file>