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DD393" w14:textId="2100E539" w:rsidR="00BF4E00" w:rsidRPr="00E434C9" w:rsidRDefault="005954FE" w:rsidP="008A3C8B">
      <w:pPr>
        <w:spacing w:line="276" w:lineRule="auto"/>
        <w:jc w:val="center"/>
        <w:rPr>
          <w:rFonts w:ascii="Times New Roman" w:hAnsi="Times New Roman" w:cs="Times New Roman"/>
          <w:b/>
          <w:sz w:val="40"/>
          <w:szCs w:val="40"/>
        </w:rPr>
      </w:pPr>
      <w:r>
        <w:rPr>
          <w:rFonts w:ascii="Times New Roman" w:hAnsi="Times New Roman" w:cs="Times New Roman"/>
          <w:b/>
          <w:sz w:val="40"/>
          <w:szCs w:val="40"/>
        </w:rPr>
        <w:t xml:space="preserve">The Role of </w:t>
      </w:r>
      <w:r w:rsidR="00D26A5E">
        <w:rPr>
          <w:rFonts w:ascii="Times New Roman" w:hAnsi="Times New Roman" w:cs="Times New Roman"/>
          <w:b/>
          <w:sz w:val="40"/>
          <w:szCs w:val="40"/>
        </w:rPr>
        <w:t>Oxysterols</w:t>
      </w:r>
      <w:r w:rsidR="00D26A5E">
        <w:rPr>
          <w:rFonts w:ascii="Times New Roman" w:hAnsi="Times New Roman" w:cs="Times New Roman"/>
          <w:b/>
          <w:sz w:val="40"/>
          <w:szCs w:val="40"/>
        </w:rPr>
        <w:t xml:space="preserve"> as </w:t>
      </w:r>
      <w:r w:rsidR="006205E6">
        <w:rPr>
          <w:rFonts w:ascii="Times New Roman" w:hAnsi="Times New Roman" w:cs="Times New Roman"/>
          <w:b/>
          <w:sz w:val="40"/>
          <w:szCs w:val="40"/>
        </w:rPr>
        <w:t>Selective Oestrogen Receptor Modulators (SERMs)</w:t>
      </w:r>
      <w:r w:rsidR="008A3C8B">
        <w:rPr>
          <w:rFonts w:ascii="Times New Roman" w:hAnsi="Times New Roman" w:cs="Times New Roman"/>
          <w:b/>
          <w:sz w:val="40"/>
          <w:szCs w:val="40"/>
        </w:rPr>
        <w:t xml:space="preserve"> </w:t>
      </w:r>
      <w:bookmarkStart w:id="0" w:name="_GoBack"/>
      <w:bookmarkEnd w:id="0"/>
      <w:r w:rsidR="006F6D34">
        <w:rPr>
          <w:rFonts w:ascii="Times New Roman" w:hAnsi="Times New Roman" w:cs="Times New Roman"/>
          <w:b/>
          <w:sz w:val="40"/>
          <w:szCs w:val="40"/>
        </w:rPr>
        <w:t xml:space="preserve">at </w:t>
      </w:r>
      <w:r w:rsidR="008A3C8B">
        <w:rPr>
          <w:rFonts w:ascii="Times New Roman" w:hAnsi="Times New Roman" w:cs="Times New Roman"/>
          <w:b/>
          <w:sz w:val="40"/>
          <w:szCs w:val="40"/>
        </w:rPr>
        <w:t>Promot</w:t>
      </w:r>
      <w:r w:rsidR="006F6D34">
        <w:rPr>
          <w:rFonts w:ascii="Times New Roman" w:hAnsi="Times New Roman" w:cs="Times New Roman"/>
          <w:b/>
          <w:sz w:val="40"/>
          <w:szCs w:val="40"/>
        </w:rPr>
        <w:t>ing</w:t>
      </w:r>
      <w:r w:rsidR="006205E6">
        <w:rPr>
          <w:rFonts w:ascii="Times New Roman" w:hAnsi="Times New Roman" w:cs="Times New Roman"/>
          <w:b/>
          <w:sz w:val="40"/>
          <w:szCs w:val="40"/>
        </w:rPr>
        <w:t xml:space="preserve"> Tumour Growth In Adrenocortical Carcinoma </w:t>
      </w:r>
    </w:p>
    <w:p w14:paraId="2F3DD394" w14:textId="77777777" w:rsidR="00BF4E00" w:rsidRDefault="00BF4E00" w:rsidP="00BF4E00">
      <w:pPr>
        <w:spacing w:line="360" w:lineRule="auto"/>
        <w:jc w:val="both"/>
        <w:rPr>
          <w:rFonts w:ascii="Times New Roman" w:hAnsi="Times New Roman" w:cs="Times New Roman"/>
          <w:b/>
          <w:sz w:val="32"/>
          <w:szCs w:val="32"/>
        </w:rPr>
      </w:pPr>
    </w:p>
    <w:p w14:paraId="2F3DD395" w14:textId="77777777" w:rsidR="00BF4E00" w:rsidRPr="00C84897" w:rsidRDefault="00BF4E00" w:rsidP="00C84897">
      <w:pPr>
        <w:spacing w:line="360" w:lineRule="auto"/>
        <w:jc w:val="both"/>
        <w:rPr>
          <w:rFonts w:ascii="Times New Roman" w:hAnsi="Times New Roman" w:cs="Times New Roman"/>
          <w:bCs/>
          <w:sz w:val="28"/>
          <w:szCs w:val="28"/>
        </w:rPr>
      </w:pPr>
      <w:r w:rsidRPr="00BF4E00">
        <w:rPr>
          <w:rFonts w:ascii="Times New Roman" w:hAnsi="Times New Roman" w:cs="Times New Roman"/>
          <w:bCs/>
          <w:sz w:val="28"/>
          <w:szCs w:val="28"/>
        </w:rPr>
        <w:t xml:space="preserve">Norah </w:t>
      </w:r>
      <w:proofErr w:type="gramStart"/>
      <w:r w:rsidRPr="00BF4E00">
        <w:rPr>
          <w:rFonts w:ascii="Times New Roman" w:hAnsi="Times New Roman" w:cs="Times New Roman"/>
          <w:bCs/>
          <w:sz w:val="28"/>
          <w:szCs w:val="28"/>
        </w:rPr>
        <w:t>Mobarki</w:t>
      </w:r>
      <w:r w:rsidRPr="00BF4E00">
        <w:rPr>
          <w:rFonts w:ascii="Times New Roman" w:hAnsi="Times New Roman" w:cs="Times New Roman"/>
          <w:bCs/>
          <w:sz w:val="28"/>
          <w:szCs w:val="28"/>
          <w:vertAlign w:val="superscript"/>
        </w:rPr>
        <w:t>(</w:t>
      </w:r>
      <w:proofErr w:type="gramEnd"/>
      <w:r w:rsidRPr="00BF4E00">
        <w:rPr>
          <w:rFonts w:ascii="Times New Roman" w:hAnsi="Times New Roman" w:cs="Times New Roman"/>
          <w:bCs/>
          <w:sz w:val="28"/>
          <w:szCs w:val="28"/>
          <w:vertAlign w:val="superscript"/>
        </w:rPr>
        <w:t>1)</w:t>
      </w:r>
      <w:r w:rsidRPr="00BF4E00">
        <w:rPr>
          <w:rFonts w:ascii="Times New Roman" w:hAnsi="Times New Roman" w:cs="Times New Roman"/>
          <w:bCs/>
          <w:sz w:val="28"/>
          <w:szCs w:val="28"/>
        </w:rPr>
        <w:t xml:space="preserve"> (PSMMC), Michael </w:t>
      </w:r>
      <w:proofErr w:type="spellStart"/>
      <w:r w:rsidRPr="00BF4E00">
        <w:rPr>
          <w:rFonts w:ascii="Times New Roman" w:hAnsi="Times New Roman" w:cs="Times New Roman"/>
          <w:bCs/>
          <w:sz w:val="28"/>
          <w:szCs w:val="28"/>
        </w:rPr>
        <w:t>Conall</w:t>
      </w:r>
      <w:proofErr w:type="spellEnd"/>
      <w:r w:rsidRPr="00BF4E00">
        <w:rPr>
          <w:rFonts w:ascii="Times New Roman" w:hAnsi="Times New Roman" w:cs="Times New Roman"/>
          <w:bCs/>
          <w:sz w:val="28"/>
          <w:szCs w:val="28"/>
        </w:rPr>
        <w:t xml:space="preserve"> </w:t>
      </w:r>
      <w:proofErr w:type="spellStart"/>
      <w:r w:rsidRPr="00BF4E00">
        <w:rPr>
          <w:rFonts w:ascii="Times New Roman" w:hAnsi="Times New Roman" w:cs="Times New Roman"/>
          <w:bCs/>
          <w:sz w:val="28"/>
          <w:szCs w:val="28"/>
        </w:rPr>
        <w:t>Dennedy</w:t>
      </w:r>
      <w:proofErr w:type="spellEnd"/>
      <w:r w:rsidRPr="00BF4E00">
        <w:rPr>
          <w:rFonts w:ascii="Times New Roman" w:hAnsi="Times New Roman" w:cs="Times New Roman"/>
          <w:bCs/>
          <w:sz w:val="28"/>
          <w:szCs w:val="28"/>
        </w:rPr>
        <w:t xml:space="preserve"> </w:t>
      </w:r>
      <w:r w:rsidRPr="00BF4E00">
        <w:rPr>
          <w:rFonts w:ascii="Times New Roman" w:hAnsi="Times New Roman" w:cs="Times New Roman"/>
          <w:bCs/>
          <w:sz w:val="28"/>
          <w:szCs w:val="28"/>
          <w:vertAlign w:val="superscript"/>
        </w:rPr>
        <w:t>(2)</w:t>
      </w:r>
      <w:r w:rsidRPr="00BF4E00">
        <w:rPr>
          <w:rFonts w:ascii="Times New Roman" w:hAnsi="Times New Roman" w:cs="Times New Roman"/>
          <w:bCs/>
          <w:sz w:val="28"/>
          <w:szCs w:val="28"/>
        </w:rPr>
        <w:t xml:space="preserve"> (NUIG).</w:t>
      </w:r>
    </w:p>
    <w:p w14:paraId="2F3DD396" w14:textId="77777777" w:rsidR="00BF4E00" w:rsidRPr="00BF4E00" w:rsidRDefault="00BF4E00" w:rsidP="00BF4E00">
      <w:pPr>
        <w:spacing w:line="360" w:lineRule="auto"/>
        <w:jc w:val="both"/>
        <w:rPr>
          <w:rFonts w:ascii="Times New Roman" w:hAnsi="Times New Roman" w:cs="Times New Roman"/>
          <w:b/>
          <w:sz w:val="32"/>
          <w:szCs w:val="32"/>
        </w:rPr>
      </w:pPr>
      <w:r w:rsidRPr="00E434C9">
        <w:rPr>
          <w:rFonts w:ascii="Times New Roman" w:hAnsi="Times New Roman" w:cs="Times New Roman"/>
          <w:b/>
          <w:sz w:val="32"/>
          <w:szCs w:val="32"/>
        </w:rPr>
        <w:t>Abstract:</w:t>
      </w:r>
    </w:p>
    <w:p w14:paraId="2F3DD397" w14:textId="77777777" w:rsidR="00BF4E00" w:rsidRPr="00E434C9" w:rsidRDefault="00BF4E00" w:rsidP="00C84897">
      <w:pPr>
        <w:spacing w:line="240" w:lineRule="auto"/>
        <w:jc w:val="both"/>
        <w:rPr>
          <w:rFonts w:ascii="Times New Roman" w:hAnsi="Times New Roman" w:cs="Times New Roman"/>
          <w:sz w:val="24"/>
          <w:szCs w:val="24"/>
        </w:rPr>
      </w:pPr>
      <w:r w:rsidRPr="00E434C9">
        <w:rPr>
          <w:rFonts w:ascii="Times New Roman" w:hAnsi="Times New Roman" w:cs="Times New Roman"/>
          <w:sz w:val="24"/>
          <w:szCs w:val="24"/>
        </w:rPr>
        <w:t>Adrenocortical carcinoma (ACC) is an aggressive and rare endocrine malignant with very limited treatment options at present. Besides, its recurrence rate is high and can occur</w:t>
      </w:r>
      <w:r>
        <w:rPr>
          <w:rFonts w:ascii="Times New Roman" w:hAnsi="Times New Roman" w:cs="Times New Roman"/>
          <w:sz w:val="24"/>
          <w:szCs w:val="24"/>
        </w:rPr>
        <w:t xml:space="preserve"> in a short following period. ACC </w:t>
      </w:r>
      <w:r w:rsidRPr="00E434C9">
        <w:rPr>
          <w:rFonts w:ascii="Times New Roman" w:hAnsi="Times New Roman" w:cs="Times New Roman"/>
          <w:sz w:val="24"/>
          <w:szCs w:val="24"/>
        </w:rPr>
        <w:t xml:space="preserve">is a </w:t>
      </w:r>
      <w:proofErr w:type="spellStart"/>
      <w:r w:rsidRPr="00E434C9">
        <w:rPr>
          <w:rFonts w:ascii="Times New Roman" w:hAnsi="Times New Roman" w:cs="Times New Roman"/>
          <w:sz w:val="24"/>
          <w:szCs w:val="24"/>
        </w:rPr>
        <w:t>steroidogenisic</w:t>
      </w:r>
      <w:proofErr w:type="spellEnd"/>
      <w:r w:rsidRPr="00E434C9">
        <w:rPr>
          <w:rFonts w:ascii="Times New Roman" w:hAnsi="Times New Roman" w:cs="Times New Roman"/>
          <w:sz w:val="24"/>
          <w:szCs w:val="24"/>
        </w:rPr>
        <w:t xml:space="preserve"> cancer produces steroid hormones, that all share cholesterol as a key building unit. Thus, cholesterol active metabolites (oxysterols) could potentially interfere these steroids pathways and produce different cellular modifications through different receptors, included ERs. In ER+ br</w:t>
      </w:r>
      <w:r w:rsidR="00C84897">
        <w:rPr>
          <w:rFonts w:ascii="Times New Roman" w:hAnsi="Times New Roman" w:cs="Times New Roman"/>
          <w:sz w:val="24"/>
          <w:szCs w:val="24"/>
        </w:rPr>
        <w:t>east cancer cells, oxy</w:t>
      </w:r>
      <w:r w:rsidRPr="00E434C9">
        <w:rPr>
          <w:rFonts w:ascii="Times New Roman" w:hAnsi="Times New Roman" w:cs="Times New Roman"/>
          <w:sz w:val="24"/>
          <w:szCs w:val="24"/>
        </w:rPr>
        <w:t>sterols (i.e. 27Hydroxy Cholesterol) promote cell proliferation through oestrogen re</w:t>
      </w:r>
      <w:r w:rsidR="00C84897">
        <w:rPr>
          <w:rFonts w:ascii="Times New Roman" w:hAnsi="Times New Roman" w:cs="Times New Roman"/>
          <w:sz w:val="24"/>
          <w:szCs w:val="24"/>
        </w:rPr>
        <w:t>ceptor alpha ERα. Therefore oxy</w:t>
      </w:r>
      <w:r w:rsidRPr="00E434C9">
        <w:rPr>
          <w:rFonts w:ascii="Times New Roman" w:hAnsi="Times New Roman" w:cs="Times New Roman"/>
          <w:sz w:val="24"/>
          <w:szCs w:val="24"/>
        </w:rPr>
        <w:t xml:space="preserve">sterols as selective oestrogen receptor modulators (SERMs), we hypothesized that they could act similarly via ERs in ACC cells (H295R) and promote cell growth. In this study, H295R cells were treated for 24-h with (27HC) at various doses (0, 10, 20, 40, 80 </w:t>
      </w:r>
      <w:proofErr w:type="spellStart"/>
      <w:r w:rsidRPr="00E434C9">
        <w:rPr>
          <w:rFonts w:ascii="Times New Roman" w:hAnsi="Times New Roman" w:cs="Times New Roman"/>
          <w:sz w:val="24"/>
          <w:szCs w:val="24"/>
        </w:rPr>
        <w:t>uM</w:t>
      </w:r>
      <w:proofErr w:type="spellEnd"/>
      <w:r w:rsidRPr="00E434C9">
        <w:rPr>
          <w:rFonts w:ascii="Times New Roman" w:hAnsi="Times New Roman" w:cs="Times New Roman"/>
          <w:sz w:val="24"/>
          <w:szCs w:val="24"/>
        </w:rPr>
        <w:t xml:space="preserve">) alone or combined with hydroxyl-tamoxifen (10uM OHT) or/ and 10nM 17-β </w:t>
      </w:r>
      <w:proofErr w:type="spellStart"/>
      <w:r w:rsidRPr="00E434C9">
        <w:rPr>
          <w:rFonts w:ascii="Times New Roman" w:hAnsi="Times New Roman" w:cs="Times New Roman"/>
          <w:sz w:val="24"/>
          <w:szCs w:val="24"/>
        </w:rPr>
        <w:t>estradiol</w:t>
      </w:r>
      <w:proofErr w:type="spellEnd"/>
      <w:r w:rsidRPr="00E434C9">
        <w:rPr>
          <w:rFonts w:ascii="Times New Roman" w:hAnsi="Times New Roman" w:cs="Times New Roman"/>
          <w:sz w:val="24"/>
          <w:szCs w:val="24"/>
        </w:rPr>
        <w:t xml:space="preserve"> (E2) to investigate the proliferative effect. The same treatment scheme was applied on MCF7 breast cancer cells. The principle experimental technique was crystal violet staining in which cells growth was measured via spectrophotometer at 550nm. </w:t>
      </w:r>
    </w:p>
    <w:p w14:paraId="2F3DD398" w14:textId="77777777" w:rsidR="00DD4890" w:rsidRDefault="00BF4E00" w:rsidP="00C84897">
      <w:pPr>
        <w:spacing w:line="240" w:lineRule="auto"/>
        <w:rPr>
          <w:rFonts w:ascii="Times New Roman" w:hAnsi="Times New Roman" w:cs="Times New Roman"/>
          <w:sz w:val="24"/>
          <w:szCs w:val="24"/>
        </w:rPr>
      </w:pPr>
      <w:r w:rsidRPr="00E434C9">
        <w:rPr>
          <w:rFonts w:ascii="Times New Roman" w:hAnsi="Times New Roman" w:cs="Times New Roman"/>
          <w:sz w:val="24"/>
          <w:szCs w:val="24"/>
        </w:rPr>
        <w:t>The finding showed that 27HC plays a role at stimulating cell division on H295R cells, however, this effect is being f</w:t>
      </w:r>
      <w:r>
        <w:rPr>
          <w:rFonts w:ascii="Times New Roman" w:hAnsi="Times New Roman" w:cs="Times New Roman"/>
          <w:sz w:val="24"/>
          <w:szCs w:val="24"/>
        </w:rPr>
        <w:t>urther enhanced in the presence of other agents:</w:t>
      </w:r>
      <w:r w:rsidRPr="00E434C9">
        <w:rPr>
          <w:rFonts w:ascii="Times New Roman" w:hAnsi="Times New Roman" w:cs="Times New Roman"/>
          <w:sz w:val="24"/>
          <w:szCs w:val="24"/>
        </w:rPr>
        <w:t xml:space="preserve"> E2 and OHT. For MCF7 control cells, the outcomes were correlated to </w:t>
      </w:r>
      <w:r>
        <w:rPr>
          <w:rFonts w:ascii="Times New Roman" w:hAnsi="Times New Roman" w:cs="Times New Roman"/>
          <w:sz w:val="24"/>
          <w:szCs w:val="24"/>
        </w:rPr>
        <w:t xml:space="preserve">a </w:t>
      </w:r>
      <w:r w:rsidRPr="00E434C9">
        <w:rPr>
          <w:rFonts w:ascii="Times New Roman" w:hAnsi="Times New Roman" w:cs="Times New Roman"/>
          <w:sz w:val="24"/>
          <w:szCs w:val="24"/>
        </w:rPr>
        <w:t xml:space="preserve">previous work that 27HC stimulates </w:t>
      </w:r>
      <w:r>
        <w:rPr>
          <w:rFonts w:ascii="Times New Roman" w:hAnsi="Times New Roman" w:cs="Times New Roman"/>
          <w:sz w:val="24"/>
          <w:szCs w:val="24"/>
        </w:rPr>
        <w:t xml:space="preserve">cell </w:t>
      </w:r>
      <w:r w:rsidRPr="00E434C9">
        <w:rPr>
          <w:rFonts w:ascii="Times New Roman" w:hAnsi="Times New Roman" w:cs="Times New Roman"/>
          <w:sz w:val="24"/>
          <w:szCs w:val="24"/>
        </w:rPr>
        <w:t>proliferation and OHT inhibits tumour formation. Overall, 27HC show</w:t>
      </w:r>
      <w:r>
        <w:rPr>
          <w:rFonts w:ascii="Times New Roman" w:hAnsi="Times New Roman" w:cs="Times New Roman"/>
          <w:sz w:val="24"/>
          <w:szCs w:val="24"/>
        </w:rPr>
        <w:t>ed an expected effect, whereas,</w:t>
      </w:r>
      <w:r w:rsidRPr="00E434C9">
        <w:rPr>
          <w:rFonts w:ascii="Times New Roman" w:hAnsi="Times New Roman" w:cs="Times New Roman"/>
          <w:sz w:val="24"/>
          <w:szCs w:val="24"/>
        </w:rPr>
        <w:t xml:space="preserve"> OHT unexpectedly induce cell density. Therefore, further work should consider the unexpected stimulatory effect of OHT and its mechanistic pathway, prior to suggesting it as an anti-estrogenic drug in ACC setting.</w:t>
      </w:r>
    </w:p>
    <w:p w14:paraId="2F3DD399" w14:textId="77777777" w:rsidR="00BF4E00" w:rsidRDefault="00BF4E00" w:rsidP="00BF4E00">
      <w:pPr>
        <w:rPr>
          <w:rFonts w:ascii="Times New Roman" w:hAnsi="Times New Roman" w:cs="Times New Roman"/>
          <w:sz w:val="24"/>
          <w:szCs w:val="24"/>
        </w:rPr>
      </w:pPr>
    </w:p>
    <w:p w14:paraId="2F3DD39A" w14:textId="77777777" w:rsidR="00BF4E00" w:rsidRDefault="00BF4E00" w:rsidP="00BF4E00">
      <w:pPr>
        <w:spacing w:line="276" w:lineRule="auto"/>
        <w:rPr>
          <w:rFonts w:ascii="Times New Roman" w:hAnsi="Times New Roman" w:cs="Times New Roman"/>
          <w:sz w:val="24"/>
          <w:szCs w:val="24"/>
        </w:rPr>
      </w:pPr>
      <w:r w:rsidRPr="00BF4E00">
        <w:rPr>
          <w:rFonts w:ascii="Times New Roman" w:hAnsi="Times New Roman" w:cs="Times New Roman"/>
          <w:b/>
          <w:bCs/>
          <w:sz w:val="24"/>
          <w:szCs w:val="24"/>
        </w:rPr>
        <w:t>KEYWORDS:</w:t>
      </w:r>
      <w:r>
        <w:rPr>
          <w:rFonts w:ascii="Times New Roman" w:hAnsi="Times New Roman" w:cs="Times New Roman"/>
          <w:sz w:val="24"/>
          <w:szCs w:val="24"/>
        </w:rPr>
        <w:t xml:space="preserve"> </w:t>
      </w:r>
      <w:r w:rsidRPr="00BF4E00">
        <w:rPr>
          <w:rFonts w:ascii="Times New Roman" w:hAnsi="Times New Roman" w:cs="Times New Roman"/>
          <w:sz w:val="24"/>
          <w:szCs w:val="24"/>
        </w:rPr>
        <w:t>Adrenocortical Carcinoma</w:t>
      </w:r>
      <w:r>
        <w:rPr>
          <w:rFonts w:ascii="Times New Roman" w:hAnsi="Times New Roman" w:cs="Times New Roman"/>
          <w:sz w:val="24"/>
          <w:szCs w:val="24"/>
        </w:rPr>
        <w:t xml:space="preserve">, </w:t>
      </w:r>
      <w:r w:rsidRPr="00BF4E00">
        <w:rPr>
          <w:rFonts w:ascii="Times New Roman" w:hAnsi="Times New Roman" w:cs="Times New Roman"/>
          <w:sz w:val="24"/>
          <w:szCs w:val="24"/>
        </w:rPr>
        <w:t xml:space="preserve">Oxysterols, </w:t>
      </w:r>
      <w:r>
        <w:rPr>
          <w:rFonts w:ascii="Times New Roman" w:hAnsi="Times New Roman" w:cs="Times New Roman"/>
          <w:sz w:val="24"/>
          <w:szCs w:val="24"/>
        </w:rPr>
        <w:t>SERMs.</w:t>
      </w:r>
    </w:p>
    <w:p w14:paraId="2F3DD39B" w14:textId="77777777" w:rsidR="00C84897" w:rsidRPr="00BF4E00" w:rsidRDefault="00C84897" w:rsidP="00C84897">
      <w:pPr>
        <w:pBdr>
          <w:bottom w:val="single" w:sz="4" w:space="1" w:color="auto"/>
        </w:pBdr>
        <w:spacing w:line="276" w:lineRule="auto"/>
        <w:rPr>
          <w:rFonts w:ascii="Times New Roman" w:hAnsi="Times New Roman" w:cs="Times New Roman"/>
          <w:sz w:val="24"/>
          <w:szCs w:val="24"/>
        </w:rPr>
      </w:pPr>
    </w:p>
    <w:p w14:paraId="2F3DD39C" w14:textId="77777777" w:rsidR="00BF4E00" w:rsidRPr="00C84897" w:rsidRDefault="00C84897" w:rsidP="00C84897">
      <w:pPr>
        <w:pStyle w:val="ListParagraph"/>
        <w:numPr>
          <w:ilvl w:val="0"/>
          <w:numId w:val="1"/>
        </w:numPr>
        <w:rPr>
          <w:rFonts w:ascii="Times New Roman" w:hAnsi="Times New Roman" w:cs="Times New Roman"/>
          <w:sz w:val="24"/>
          <w:szCs w:val="24"/>
        </w:rPr>
      </w:pPr>
      <w:r w:rsidRPr="00C84897">
        <w:rPr>
          <w:rFonts w:ascii="Times New Roman" w:hAnsi="Times New Roman" w:cs="Times New Roman"/>
          <w:sz w:val="24"/>
          <w:szCs w:val="24"/>
        </w:rPr>
        <w:t>Medical Laboratory Specialist, Toxicologist, Prince Sultan Medical Military City</w:t>
      </w:r>
      <w:r>
        <w:rPr>
          <w:rFonts w:ascii="Times New Roman" w:hAnsi="Times New Roman" w:cs="Times New Roman"/>
          <w:sz w:val="24"/>
          <w:szCs w:val="24"/>
        </w:rPr>
        <w:t xml:space="preserve"> (PSMMC)</w:t>
      </w:r>
      <w:r w:rsidRPr="00C84897">
        <w:rPr>
          <w:rFonts w:ascii="Times New Roman" w:hAnsi="Times New Roman" w:cs="Times New Roman"/>
          <w:sz w:val="24"/>
          <w:szCs w:val="24"/>
        </w:rPr>
        <w:t>, Riyadh, Saudi Arabia.</w:t>
      </w:r>
    </w:p>
    <w:p w14:paraId="2F3DD39D" w14:textId="77777777" w:rsidR="00C84897" w:rsidRPr="00C84897" w:rsidRDefault="00C84897" w:rsidP="00C84897">
      <w:pPr>
        <w:pStyle w:val="ListParagraph"/>
        <w:numPr>
          <w:ilvl w:val="0"/>
          <w:numId w:val="1"/>
        </w:numPr>
        <w:rPr>
          <w:rFonts w:ascii="Times New Roman" w:hAnsi="Times New Roman" w:cs="Times New Roman"/>
          <w:sz w:val="24"/>
          <w:szCs w:val="24"/>
        </w:rPr>
      </w:pPr>
      <w:r w:rsidRPr="00C84897">
        <w:rPr>
          <w:rFonts w:ascii="Times New Roman" w:hAnsi="Times New Roman" w:cs="Times New Roman"/>
          <w:sz w:val="24"/>
          <w:szCs w:val="24"/>
        </w:rPr>
        <w:t>Consultant Endocrinologist/ Senior Lecturer in Clinical Pharmacology and Therapeutics, Na</w:t>
      </w:r>
      <w:r>
        <w:rPr>
          <w:rFonts w:ascii="Times New Roman" w:hAnsi="Times New Roman" w:cs="Times New Roman"/>
          <w:sz w:val="24"/>
          <w:szCs w:val="24"/>
        </w:rPr>
        <w:t>tional University of Ireland (NUIG)</w:t>
      </w:r>
      <w:r w:rsidRPr="00C84897">
        <w:rPr>
          <w:rFonts w:ascii="Times New Roman" w:hAnsi="Times New Roman" w:cs="Times New Roman"/>
          <w:sz w:val="24"/>
          <w:szCs w:val="24"/>
        </w:rPr>
        <w:t>, Galway, Ireland.</w:t>
      </w:r>
    </w:p>
    <w:sectPr w:rsidR="00C84897" w:rsidRPr="00C84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8F5A3D"/>
    <w:multiLevelType w:val="hybridMultilevel"/>
    <w:tmpl w:val="5494184E"/>
    <w:lvl w:ilvl="0" w:tplc="DDDE4E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4E00"/>
    <w:rsid w:val="000B1048"/>
    <w:rsid w:val="004B29C1"/>
    <w:rsid w:val="005954FE"/>
    <w:rsid w:val="006205E6"/>
    <w:rsid w:val="006F6D34"/>
    <w:rsid w:val="008A3C8B"/>
    <w:rsid w:val="00B55747"/>
    <w:rsid w:val="00BF4E00"/>
    <w:rsid w:val="00C16694"/>
    <w:rsid w:val="00C84897"/>
    <w:rsid w:val="00D26A5E"/>
    <w:rsid w:val="00D71530"/>
    <w:rsid w:val="00E44D71"/>
    <w:rsid w:val="00F22686"/>
    <w:rsid w:val="00FF04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DD393"/>
  <w15:docId w15:val="{F5259F6D-E242-4056-ACC9-591F86F67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E00"/>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Toxicology Lab</dc:creator>
  <cp:lastModifiedBy>Norah Mobarki</cp:lastModifiedBy>
  <cp:revision>11</cp:revision>
  <dcterms:created xsi:type="dcterms:W3CDTF">2018-04-10T07:39:00Z</dcterms:created>
  <dcterms:modified xsi:type="dcterms:W3CDTF">2018-12-17T17:55:00Z</dcterms:modified>
</cp:coreProperties>
</file>