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D0E" w:rsidRDefault="00FB4CBE" w:rsidP="00FB4C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BE">
        <w:rPr>
          <w:rFonts w:ascii="Times New Roman" w:hAnsi="Times New Roman" w:cs="Times New Roman"/>
          <w:b/>
          <w:sz w:val="24"/>
          <w:szCs w:val="24"/>
        </w:rPr>
        <w:t>Background</w:t>
      </w:r>
      <w:r w:rsidRPr="00FB4CBE">
        <w:rPr>
          <w:rFonts w:ascii="Times New Roman" w:hAnsi="Times New Roman" w:cs="Times New Roman"/>
          <w:sz w:val="24"/>
          <w:szCs w:val="24"/>
        </w:rPr>
        <w:t xml:space="preserve">: Although literature reports the therapeutic properties of Encephalartos ferox, there are limited pharmacological studies of its fruit. </w:t>
      </w:r>
      <w:r w:rsidRPr="00FB4CBE">
        <w:rPr>
          <w:rFonts w:ascii="Times New Roman" w:hAnsi="Times New Roman" w:cs="Times New Roman"/>
          <w:b/>
          <w:sz w:val="24"/>
          <w:szCs w:val="24"/>
        </w:rPr>
        <w:t>Objective</w:t>
      </w:r>
      <w:r w:rsidRPr="00FB4CBE">
        <w:rPr>
          <w:rFonts w:ascii="Times New Roman" w:hAnsi="Times New Roman" w:cs="Times New Roman"/>
          <w:sz w:val="24"/>
          <w:szCs w:val="24"/>
        </w:rPr>
        <w:t xml:space="preserve">: This study sought to evaluate the antibacterial, antioxidant, anti-quorum sensing, and in vitro cytotoxic activities of the methanolic </w:t>
      </w:r>
      <w:r w:rsidRPr="00DF5D0E">
        <w:rPr>
          <w:rFonts w:ascii="Times New Roman" w:hAnsi="Times New Roman" w:cs="Times New Roman"/>
          <w:i/>
          <w:sz w:val="24"/>
          <w:szCs w:val="24"/>
        </w:rPr>
        <w:t>E. ferox</w:t>
      </w:r>
      <w:r w:rsidRPr="00FB4CBE">
        <w:rPr>
          <w:rFonts w:ascii="Times New Roman" w:hAnsi="Times New Roman" w:cs="Times New Roman"/>
          <w:sz w:val="24"/>
          <w:szCs w:val="24"/>
        </w:rPr>
        <w:t xml:space="preserve"> fruit extract. </w:t>
      </w:r>
      <w:r w:rsidRPr="00FB4CBE">
        <w:rPr>
          <w:rFonts w:ascii="Times New Roman" w:hAnsi="Times New Roman" w:cs="Times New Roman"/>
          <w:b/>
          <w:sz w:val="24"/>
          <w:szCs w:val="24"/>
        </w:rPr>
        <w:t>Methods:</w:t>
      </w:r>
      <w:r w:rsidRPr="00FB4CBE">
        <w:rPr>
          <w:rFonts w:ascii="Times New Roman" w:hAnsi="Times New Roman" w:cs="Times New Roman"/>
          <w:sz w:val="24"/>
          <w:szCs w:val="24"/>
        </w:rPr>
        <w:t xml:space="preserve"> The chemical constituent of the methanolic fruit extract was analysed using gas chromatography-mass spectrometry. Antibacterial activity of the extract was investigated against </w:t>
      </w:r>
      <w:r w:rsidRPr="00FB4CBE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Pr="00FB4CBE">
        <w:rPr>
          <w:rFonts w:ascii="Times New Roman" w:hAnsi="Times New Roman" w:cs="Times New Roman"/>
          <w:sz w:val="24"/>
          <w:szCs w:val="24"/>
        </w:rPr>
        <w:t xml:space="preserve"> (ATCC 25923), </w:t>
      </w:r>
      <w:r w:rsidRPr="00FB4CBE">
        <w:rPr>
          <w:rFonts w:ascii="Times New Roman" w:hAnsi="Times New Roman" w:cs="Times New Roman"/>
          <w:i/>
          <w:sz w:val="24"/>
          <w:szCs w:val="24"/>
        </w:rPr>
        <w:t>Bacillus cereus</w:t>
      </w:r>
      <w:r w:rsidRPr="00FB4CBE">
        <w:rPr>
          <w:rFonts w:ascii="Times New Roman" w:hAnsi="Times New Roman" w:cs="Times New Roman"/>
          <w:sz w:val="24"/>
          <w:szCs w:val="24"/>
        </w:rPr>
        <w:t xml:space="preserve"> (ATCC 10102), </w:t>
      </w:r>
      <w:r w:rsidRPr="00FB4CBE">
        <w:rPr>
          <w:rFonts w:ascii="Times New Roman" w:hAnsi="Times New Roman" w:cs="Times New Roman"/>
          <w:i/>
          <w:sz w:val="24"/>
          <w:szCs w:val="24"/>
        </w:rPr>
        <w:t>Escherichia coli</w:t>
      </w:r>
      <w:r w:rsidRPr="00FB4CBE">
        <w:rPr>
          <w:rFonts w:ascii="Times New Roman" w:hAnsi="Times New Roman" w:cs="Times New Roman"/>
          <w:sz w:val="24"/>
          <w:szCs w:val="24"/>
        </w:rPr>
        <w:t xml:space="preserve"> (ATCC 25922) and </w:t>
      </w:r>
      <w:r w:rsidRPr="00FB4CBE">
        <w:rPr>
          <w:rFonts w:ascii="Times New Roman" w:hAnsi="Times New Roman" w:cs="Times New Roman"/>
          <w:i/>
          <w:sz w:val="24"/>
          <w:szCs w:val="24"/>
        </w:rPr>
        <w:t>Pseudomonas aeruginosa</w:t>
      </w:r>
      <w:r w:rsidRPr="00FB4CBE">
        <w:rPr>
          <w:rFonts w:ascii="Times New Roman" w:hAnsi="Times New Roman" w:cs="Times New Roman"/>
          <w:sz w:val="24"/>
          <w:szCs w:val="24"/>
        </w:rPr>
        <w:t xml:space="preserve"> (ATCC 27853) using the broth dilution method. The standard 2.2-diphenyl-1-picrylhydrazyl (DPPH) and 2.2-azinobis (3-ethylbenzothiazoline-6-sulfonic acid) (ABTS) methods were used to evaluate the scavenging activities of the extract. Anti-quorum sensing activity was as</w:t>
      </w:r>
      <w:r w:rsidR="00DF5D0E">
        <w:rPr>
          <w:rFonts w:ascii="Times New Roman" w:hAnsi="Times New Roman" w:cs="Times New Roman"/>
          <w:sz w:val="24"/>
          <w:szCs w:val="24"/>
        </w:rPr>
        <w:t xml:space="preserve">sessed against biosensor strain </w:t>
      </w:r>
      <w:r w:rsidRPr="00DF5D0E">
        <w:rPr>
          <w:rFonts w:ascii="Times New Roman" w:hAnsi="Times New Roman" w:cs="Times New Roman"/>
          <w:i/>
          <w:sz w:val="24"/>
          <w:szCs w:val="24"/>
        </w:rPr>
        <w:t>Chromobacterium violaceum</w:t>
      </w:r>
      <w:r w:rsidRPr="00FB4CBE">
        <w:rPr>
          <w:rFonts w:ascii="Times New Roman" w:hAnsi="Times New Roman" w:cs="Times New Roman"/>
          <w:sz w:val="24"/>
          <w:szCs w:val="24"/>
        </w:rPr>
        <w:t xml:space="preserve"> (ATCC 12472). Cytotoxicity in HepG2 cells was investigated using the tetrazolium-based colorimetric (MTT) assay. </w:t>
      </w:r>
      <w:r w:rsidRPr="00FB4CBE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FB4CBE">
        <w:rPr>
          <w:rFonts w:ascii="Times New Roman" w:hAnsi="Times New Roman" w:cs="Times New Roman"/>
          <w:sz w:val="24"/>
          <w:szCs w:val="24"/>
        </w:rPr>
        <w:t>The extract revealed eight volatile compounds with cis-</w:t>
      </w:r>
      <w:proofErr w:type="spellStart"/>
      <w:r w:rsidRPr="00FB4CBE">
        <w:rPr>
          <w:rFonts w:ascii="Times New Roman" w:hAnsi="Times New Roman" w:cs="Times New Roman"/>
          <w:sz w:val="24"/>
          <w:szCs w:val="24"/>
        </w:rPr>
        <w:t>Vaccenic</w:t>
      </w:r>
      <w:proofErr w:type="spellEnd"/>
      <w:r w:rsidRPr="00FB4CBE">
        <w:rPr>
          <w:rFonts w:ascii="Times New Roman" w:hAnsi="Times New Roman" w:cs="Times New Roman"/>
          <w:sz w:val="24"/>
          <w:szCs w:val="24"/>
        </w:rPr>
        <w:t xml:space="preserve"> acid (87.06%) and 9-Octadecenoic acid, 1</w:t>
      </w:r>
      <w:r w:rsidR="00DF5D0E" w:rsidRPr="00FB4CBE">
        <w:rPr>
          <w:rFonts w:ascii="Times New Roman" w:hAnsi="Times New Roman" w:cs="Times New Roman"/>
          <w:sz w:val="24"/>
          <w:szCs w:val="24"/>
        </w:rPr>
        <w:t>, 2, 3</w:t>
      </w:r>
      <w:r w:rsidRPr="00FB4CBE">
        <w:rPr>
          <w:rFonts w:ascii="Times New Roman" w:hAnsi="Times New Roman" w:cs="Times New Roman"/>
          <w:sz w:val="24"/>
          <w:szCs w:val="24"/>
        </w:rPr>
        <w:t>-propanetriyl ester (5.21%) as the major components. Antibacterial activity against all tested strains with minimum inhibitory concentration range of 1.56 - 12.5 mg/mL was observed. The DPPH and ABTS assays demonstrated scavenging activities with the median inhibitory concentration (IC50) values of 0.09 mg/mL and 0.003 mg/mL, respectively. The extract also displayed strong anti-quorum sensing activity with 93% inhibition of violacein production at 25 mg/</w:t>
      </w:r>
      <w:proofErr w:type="spellStart"/>
      <w:r w:rsidRPr="00FB4CBE">
        <w:rPr>
          <w:rFonts w:ascii="Times New Roman" w:hAnsi="Times New Roman" w:cs="Times New Roman"/>
          <w:sz w:val="24"/>
          <w:szCs w:val="24"/>
        </w:rPr>
        <w:t>mL.</w:t>
      </w:r>
      <w:proofErr w:type="spellEnd"/>
      <w:r w:rsidRPr="00FB4CBE">
        <w:rPr>
          <w:rFonts w:ascii="Times New Roman" w:hAnsi="Times New Roman" w:cs="Times New Roman"/>
          <w:sz w:val="24"/>
          <w:szCs w:val="24"/>
        </w:rPr>
        <w:t xml:space="preserve"> A half maximum inhibitory concentration (IC50) of 5370 µg/mL was computed in HepG2 cells. </w:t>
      </w:r>
      <w:r w:rsidRPr="00DF5D0E">
        <w:rPr>
          <w:rFonts w:ascii="Times New Roman" w:hAnsi="Times New Roman" w:cs="Times New Roman"/>
          <w:b/>
          <w:sz w:val="24"/>
          <w:szCs w:val="24"/>
        </w:rPr>
        <w:t>Conclusion:</w:t>
      </w:r>
      <w:r w:rsidRPr="00FB4CBE">
        <w:rPr>
          <w:rFonts w:ascii="Times New Roman" w:hAnsi="Times New Roman" w:cs="Times New Roman"/>
          <w:sz w:val="24"/>
          <w:szCs w:val="24"/>
        </w:rPr>
        <w:t xml:space="preserve"> The extract has potential to be used as a source of therapeutic compounds in pharmaceutical applications. </w:t>
      </w:r>
    </w:p>
    <w:p w:rsidR="00DF5D0E" w:rsidRPr="00974CA3" w:rsidRDefault="00FB4CBE" w:rsidP="00FB4C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D0E">
        <w:rPr>
          <w:rFonts w:ascii="Times New Roman" w:hAnsi="Times New Roman" w:cs="Times New Roman"/>
          <w:b/>
          <w:sz w:val="24"/>
          <w:szCs w:val="24"/>
        </w:rPr>
        <w:t>Key words:</w:t>
      </w:r>
      <w:r w:rsidRPr="00FB4CBE">
        <w:rPr>
          <w:rFonts w:ascii="Times New Roman" w:hAnsi="Times New Roman" w:cs="Times New Roman"/>
          <w:sz w:val="24"/>
          <w:szCs w:val="24"/>
        </w:rPr>
        <w:t xml:space="preserve"> Antibacterial, Anti-quorum sensing, Antioxidant, Cytotoxicity</w:t>
      </w:r>
    </w:p>
    <w:p w:rsidR="00974CA3" w:rsidRDefault="00974CA3" w:rsidP="00FB4CBE">
      <w:pPr>
        <w:spacing w:line="360" w:lineRule="auto"/>
        <w:jc w:val="both"/>
      </w:pPr>
      <w:r w:rsidRPr="0026308F">
        <w:rPr>
          <w:rFonts w:ascii="Times New Roman" w:hAnsi="Times New Roman" w:cs="Times New Roman"/>
          <w:noProof/>
          <w:sz w:val="24"/>
          <w:szCs w:val="24"/>
          <w:lang w:eastAsia="en-ZA"/>
        </w:rPr>
        <w:drawing>
          <wp:inline distT="0" distB="0" distL="0" distR="0" wp14:anchorId="4753BD56" wp14:editId="72936AE0">
            <wp:extent cx="1363980" cy="1866295"/>
            <wp:effectExtent l="0" t="0" r="7620" b="635"/>
            <wp:docPr id="1" name="Picture 1" descr="C:\Users\tsilo2\Desktop\tsilo 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ilo2\Desktop\tsilo p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1" t="3855" r="29306" b="52888"/>
                    <a:stretch/>
                  </pic:blipFill>
                  <pic:spPr bwMode="auto">
                    <a:xfrm>
                      <a:off x="0" y="0"/>
                      <a:ext cx="1371039" cy="187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t>Mr PH Tsilo,</w:t>
      </w:r>
      <w:r>
        <w:t xml:space="preserve"> is holding an Honours degree in Microbiology from the University of Zululand. He is currently working on his MSc in Microbiology in the same institution.</w:t>
      </w:r>
      <w:r>
        <w:t xml:space="preserve"> He has 3 publications in reputable journals.</w:t>
      </w:r>
      <w:bookmarkStart w:id="0" w:name="_GoBack"/>
      <w:bookmarkEnd w:id="0"/>
    </w:p>
    <w:p w:rsidR="00974CA3" w:rsidRPr="00974CA3" w:rsidRDefault="00974CA3" w:rsidP="00974CA3">
      <w:pPr>
        <w:pStyle w:val="NormalWeb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lastRenderedPageBreak/>
        <w:t>Presenting author details</w:t>
      </w:r>
    </w:p>
    <w:p w:rsidR="00974CA3" w:rsidRPr="00974CA3" w:rsidRDefault="00974CA3" w:rsidP="00974CA3">
      <w:pPr>
        <w:pStyle w:val="NormalWeb"/>
        <w:rPr>
          <w:color w:val="000000"/>
          <w:sz w:val="27"/>
          <w:szCs w:val="27"/>
        </w:rPr>
      </w:pPr>
      <w:r w:rsidRPr="00974CA3">
        <w:rPr>
          <w:b/>
          <w:color w:val="000000"/>
          <w:sz w:val="27"/>
          <w:szCs w:val="27"/>
        </w:rPr>
        <w:t>Full name:</w:t>
      </w:r>
      <w:r>
        <w:rPr>
          <w:b/>
          <w:color w:val="000000"/>
          <w:sz w:val="27"/>
          <w:szCs w:val="27"/>
        </w:rPr>
        <w:t xml:space="preserve"> </w:t>
      </w:r>
      <w:proofErr w:type="spellStart"/>
      <w:r w:rsidRPr="00974CA3">
        <w:rPr>
          <w:color w:val="000000"/>
          <w:sz w:val="27"/>
          <w:szCs w:val="27"/>
        </w:rPr>
        <w:t>Phakamani</w:t>
      </w:r>
      <w:proofErr w:type="spellEnd"/>
      <w:r w:rsidRPr="00974CA3">
        <w:rPr>
          <w:color w:val="000000"/>
          <w:sz w:val="27"/>
          <w:szCs w:val="27"/>
        </w:rPr>
        <w:t xml:space="preserve"> Hopewell Tsilo</w:t>
      </w:r>
    </w:p>
    <w:p w:rsidR="00974CA3" w:rsidRDefault="00974CA3" w:rsidP="00974CA3">
      <w:pPr>
        <w:pStyle w:val="NormalWeb"/>
        <w:rPr>
          <w:b/>
          <w:color w:val="000000"/>
          <w:sz w:val="27"/>
          <w:szCs w:val="27"/>
        </w:rPr>
      </w:pPr>
      <w:r w:rsidRPr="00974CA3">
        <w:rPr>
          <w:b/>
          <w:color w:val="000000"/>
          <w:sz w:val="27"/>
          <w:szCs w:val="27"/>
        </w:rPr>
        <w:t>University/Organization name:</w:t>
      </w:r>
      <w:r>
        <w:rPr>
          <w:b/>
          <w:color w:val="000000"/>
          <w:sz w:val="27"/>
          <w:szCs w:val="27"/>
        </w:rPr>
        <w:t xml:space="preserve"> </w:t>
      </w:r>
      <w:r w:rsidRPr="00974CA3">
        <w:rPr>
          <w:color w:val="000000"/>
          <w:sz w:val="27"/>
          <w:szCs w:val="27"/>
        </w:rPr>
        <w:t>University of Zululand</w:t>
      </w:r>
      <w:r>
        <w:rPr>
          <w:b/>
          <w:color w:val="000000"/>
          <w:sz w:val="27"/>
          <w:szCs w:val="27"/>
        </w:rPr>
        <w:t xml:space="preserve"> </w:t>
      </w:r>
    </w:p>
    <w:p w:rsidR="00974CA3" w:rsidRPr="00974CA3" w:rsidRDefault="00974CA3" w:rsidP="00974CA3">
      <w:pPr>
        <w:pStyle w:val="NormalWeb"/>
        <w:rPr>
          <w:b/>
          <w:color w:val="000000"/>
          <w:sz w:val="27"/>
          <w:szCs w:val="27"/>
        </w:rPr>
      </w:pPr>
      <w:r w:rsidRPr="00974CA3">
        <w:rPr>
          <w:b/>
          <w:color w:val="000000"/>
          <w:sz w:val="27"/>
          <w:szCs w:val="27"/>
        </w:rPr>
        <w:t>Designation:</w:t>
      </w:r>
      <w:r>
        <w:rPr>
          <w:b/>
          <w:color w:val="000000"/>
          <w:sz w:val="27"/>
          <w:szCs w:val="27"/>
        </w:rPr>
        <w:t xml:space="preserve"> </w:t>
      </w:r>
      <w:r w:rsidRPr="00974CA3">
        <w:rPr>
          <w:color w:val="000000"/>
          <w:sz w:val="27"/>
          <w:szCs w:val="27"/>
        </w:rPr>
        <w:t>Biochemistry and Microbiology</w:t>
      </w:r>
    </w:p>
    <w:p w:rsidR="00974CA3" w:rsidRPr="00974CA3" w:rsidRDefault="00974CA3" w:rsidP="00974CA3">
      <w:pPr>
        <w:pStyle w:val="NormalWeb"/>
        <w:rPr>
          <w:color w:val="000000"/>
          <w:sz w:val="27"/>
          <w:szCs w:val="27"/>
        </w:rPr>
      </w:pPr>
      <w:r w:rsidRPr="00974CA3">
        <w:rPr>
          <w:b/>
          <w:color w:val="000000"/>
          <w:sz w:val="27"/>
          <w:szCs w:val="27"/>
        </w:rPr>
        <w:t>Country:</w:t>
      </w:r>
      <w:r>
        <w:rPr>
          <w:b/>
          <w:color w:val="000000"/>
          <w:sz w:val="27"/>
          <w:szCs w:val="27"/>
        </w:rPr>
        <w:t xml:space="preserve"> </w:t>
      </w:r>
      <w:r w:rsidRPr="00974CA3">
        <w:rPr>
          <w:color w:val="000000"/>
          <w:sz w:val="27"/>
          <w:szCs w:val="27"/>
        </w:rPr>
        <w:t>South Africa</w:t>
      </w:r>
    </w:p>
    <w:p w:rsidR="00974CA3" w:rsidRPr="00974CA3" w:rsidRDefault="00974CA3" w:rsidP="00974CA3">
      <w:pPr>
        <w:pStyle w:val="NormalWeb"/>
        <w:rPr>
          <w:b/>
          <w:color w:val="000000"/>
          <w:sz w:val="27"/>
          <w:szCs w:val="27"/>
        </w:rPr>
      </w:pPr>
      <w:r w:rsidRPr="00974CA3">
        <w:rPr>
          <w:b/>
          <w:color w:val="000000"/>
          <w:sz w:val="27"/>
          <w:szCs w:val="27"/>
        </w:rPr>
        <w:t>Mobile number:</w:t>
      </w:r>
      <w:r>
        <w:rPr>
          <w:b/>
          <w:color w:val="000000"/>
          <w:sz w:val="27"/>
          <w:szCs w:val="27"/>
        </w:rPr>
        <w:t xml:space="preserve"> </w:t>
      </w:r>
      <w:r w:rsidRPr="00974CA3">
        <w:rPr>
          <w:color w:val="000000"/>
          <w:sz w:val="27"/>
          <w:szCs w:val="27"/>
        </w:rPr>
        <w:t>+27671090888</w:t>
      </w:r>
    </w:p>
    <w:p w:rsidR="00974CA3" w:rsidRPr="00974CA3" w:rsidRDefault="00974CA3" w:rsidP="00974CA3">
      <w:pPr>
        <w:pStyle w:val="NormalWeb"/>
        <w:rPr>
          <w:b/>
          <w:color w:val="000000"/>
          <w:sz w:val="27"/>
          <w:szCs w:val="27"/>
        </w:rPr>
      </w:pPr>
      <w:r w:rsidRPr="00974CA3">
        <w:rPr>
          <w:b/>
          <w:color w:val="000000"/>
          <w:sz w:val="27"/>
          <w:szCs w:val="27"/>
        </w:rPr>
        <w:t>Email ID:</w:t>
      </w:r>
      <w:r>
        <w:rPr>
          <w:b/>
          <w:color w:val="000000"/>
          <w:sz w:val="27"/>
          <w:szCs w:val="27"/>
        </w:rPr>
        <w:t xml:space="preserve"> </w:t>
      </w:r>
      <w:r w:rsidRPr="00974CA3">
        <w:rPr>
          <w:color w:val="000000"/>
          <w:sz w:val="27"/>
          <w:szCs w:val="27"/>
        </w:rPr>
        <w:t>phakamanitsilo90@gmail.com</w:t>
      </w:r>
    </w:p>
    <w:p w:rsidR="00974CA3" w:rsidRPr="00974CA3" w:rsidRDefault="00974CA3" w:rsidP="00974CA3">
      <w:pPr>
        <w:pStyle w:val="NormalWeb"/>
        <w:rPr>
          <w:b/>
          <w:color w:val="000000"/>
          <w:sz w:val="27"/>
          <w:szCs w:val="27"/>
        </w:rPr>
      </w:pPr>
      <w:r w:rsidRPr="00974CA3">
        <w:rPr>
          <w:b/>
          <w:color w:val="000000"/>
          <w:sz w:val="27"/>
          <w:szCs w:val="27"/>
        </w:rPr>
        <w:t>Presentation type (Oral/Poster):</w:t>
      </w:r>
      <w:r>
        <w:rPr>
          <w:b/>
          <w:color w:val="000000"/>
          <w:sz w:val="27"/>
          <w:szCs w:val="27"/>
        </w:rPr>
        <w:t xml:space="preserve"> </w:t>
      </w:r>
      <w:r w:rsidRPr="00974CA3">
        <w:rPr>
          <w:color w:val="000000"/>
          <w:sz w:val="27"/>
          <w:szCs w:val="27"/>
        </w:rPr>
        <w:t>Oral</w:t>
      </w:r>
    </w:p>
    <w:p w:rsidR="00974CA3" w:rsidRPr="00974CA3" w:rsidRDefault="00974CA3" w:rsidP="00FB4CBE">
      <w:pPr>
        <w:spacing w:line="360" w:lineRule="auto"/>
        <w:jc w:val="both"/>
      </w:pPr>
    </w:p>
    <w:sectPr w:rsidR="00974CA3" w:rsidRPr="00974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CBE"/>
    <w:rsid w:val="001A1CB8"/>
    <w:rsid w:val="0026308F"/>
    <w:rsid w:val="005A19E1"/>
    <w:rsid w:val="00607C36"/>
    <w:rsid w:val="008D1FD5"/>
    <w:rsid w:val="00974CA3"/>
    <w:rsid w:val="00DF5D0E"/>
    <w:rsid w:val="00FB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17E2B14-DE5A-4C30-B43C-876C6878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4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6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phakamanitsilo90@gmail.com</dc:creator>
  <cp:keywords/>
  <dc:description/>
  <cp:lastModifiedBy>phakamanitsilo90@gmail.com</cp:lastModifiedBy>
  <cp:revision>1</cp:revision>
  <dcterms:created xsi:type="dcterms:W3CDTF">2021-11-24T11:11:00Z</dcterms:created>
  <dcterms:modified xsi:type="dcterms:W3CDTF">2021-11-24T12:03:00Z</dcterms:modified>
</cp:coreProperties>
</file>