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6191" w:rsidRDefault="00B16191">
      <w:r w:rsidRPr="00B16191">
        <w:rPr>
          <w:b/>
        </w:rPr>
        <w:t>Title</w:t>
      </w:r>
      <w:r>
        <w:t>:</w:t>
      </w:r>
      <w:r w:rsidR="00120513">
        <w:t xml:space="preserve"> </w:t>
      </w:r>
      <w:r w:rsidR="00B41A6B" w:rsidRPr="00950EB6">
        <w:rPr>
          <w:i/>
        </w:rPr>
        <w:t>In vivo</w:t>
      </w:r>
      <w:r w:rsidR="00B41A6B">
        <w:t xml:space="preserve"> evaluation of uric acid analogues as a marker for renal uric acid disposition in animals.</w:t>
      </w:r>
    </w:p>
    <w:p w:rsidR="00E60714" w:rsidRDefault="00E60714" w:rsidP="00E60714">
      <w:r>
        <w:t>Natsumi Amezawa, Hiroshi Arakawa, Tomomitsu Katsuyama, Nakanishi Takeo, and Ikumi Tamai</w:t>
      </w:r>
    </w:p>
    <w:p w:rsidR="00106A2A" w:rsidRPr="00E60714" w:rsidRDefault="00106A2A"/>
    <w:p w:rsidR="00E60714" w:rsidRDefault="00E60714">
      <w:pPr>
        <w:rPr>
          <w:b/>
        </w:rPr>
      </w:pPr>
      <w:r w:rsidRPr="004B12EE">
        <w:t>Faculty of Pharmaceutical Science, Institute of Medical, Pharmaceutical and Health Sciences, Kanazawa University, Japan</w:t>
      </w:r>
      <w:r>
        <w:t>.</w:t>
      </w:r>
    </w:p>
    <w:p w:rsidR="00E60714" w:rsidRDefault="00E60714">
      <w:pPr>
        <w:rPr>
          <w:b/>
        </w:rPr>
      </w:pPr>
    </w:p>
    <w:p w:rsidR="00106A2A" w:rsidRDefault="00106A2A">
      <w:r w:rsidRPr="00106A2A">
        <w:rPr>
          <w:b/>
        </w:rPr>
        <w:t>Background</w:t>
      </w:r>
      <w:r>
        <w:t xml:space="preserve">: </w:t>
      </w:r>
      <w:r w:rsidR="00D9449C">
        <w:t>H</w:t>
      </w:r>
      <w:r w:rsidR="0004197E">
        <w:t xml:space="preserve">yperuricemia </w:t>
      </w:r>
      <w:r w:rsidR="0004197E" w:rsidRPr="00A5680E">
        <w:t xml:space="preserve">is a risk </w:t>
      </w:r>
      <w:r w:rsidR="0004197E">
        <w:t>factor for</w:t>
      </w:r>
      <w:r w:rsidR="0004197E" w:rsidRPr="00A5680E">
        <w:t xml:space="preserve"> various metabolic syndrome</w:t>
      </w:r>
      <w:r w:rsidR="0004197E">
        <w:t>s</w:t>
      </w:r>
      <w:r w:rsidR="0004197E" w:rsidRPr="00A5680E">
        <w:t xml:space="preserve"> and gout</w:t>
      </w:r>
      <w:r w:rsidR="00D9449C">
        <w:t xml:space="preserve">, and </w:t>
      </w:r>
      <w:r w:rsidR="00512DED">
        <w:t>some populations such as Maori in New Zealand exhibit higher prevalence of hyperuricemia.</w:t>
      </w:r>
      <w:r w:rsidR="00E2643E" w:rsidRPr="00A5680E">
        <w:t xml:space="preserve"> </w:t>
      </w:r>
      <w:r w:rsidR="00327F9E">
        <w:t>R</w:t>
      </w:r>
      <w:r w:rsidR="00E2643E">
        <w:t xml:space="preserve">eabsorptive </w:t>
      </w:r>
      <w:r w:rsidR="00E2643E" w:rsidRPr="00A5680E">
        <w:t>transporter URAT1</w:t>
      </w:r>
      <w:r w:rsidR="00E2643E">
        <w:t xml:space="preserve"> in kidney</w:t>
      </w:r>
      <w:r w:rsidR="00E2643E" w:rsidRPr="00A5680E">
        <w:t xml:space="preserve"> is </w:t>
      </w:r>
      <w:r w:rsidR="00E2643E">
        <w:t xml:space="preserve">a </w:t>
      </w:r>
      <w:r w:rsidR="00327F9E">
        <w:t xml:space="preserve">pharmacological </w:t>
      </w:r>
      <w:r w:rsidR="00E2643E">
        <w:t>target for</w:t>
      </w:r>
      <w:r w:rsidR="00327F9E">
        <w:t xml:space="preserve"> uricosuic agents</w:t>
      </w:r>
      <w:bookmarkStart w:id="0" w:name="_GoBack"/>
      <w:bookmarkEnd w:id="0"/>
      <w:r w:rsidR="00E2643E">
        <w:t xml:space="preserve">. </w:t>
      </w:r>
      <w:r w:rsidR="00512DED">
        <w:t xml:space="preserve">However, development of uricosuric </w:t>
      </w:r>
      <w:r w:rsidR="00E2643E">
        <w:t>agents</w:t>
      </w:r>
      <w:r w:rsidR="00512DED">
        <w:t xml:space="preserve"> is </w:t>
      </w:r>
      <w:r w:rsidR="00E2643E">
        <w:t xml:space="preserve">hampered by a </w:t>
      </w:r>
      <w:r w:rsidR="00512DED">
        <w:t xml:space="preserve">species difference of metabolism of </w:t>
      </w:r>
      <w:r w:rsidR="001B3989">
        <w:rPr>
          <w:rFonts w:hint="eastAsia"/>
        </w:rPr>
        <w:t>UA</w:t>
      </w:r>
      <w:r w:rsidR="00512DED">
        <w:t xml:space="preserve"> to allantoin by uricase</w:t>
      </w:r>
      <w:r w:rsidR="00E2643E">
        <w:t xml:space="preserve"> in rodents</w:t>
      </w:r>
      <w:r w:rsidR="001B3989">
        <w:t>.</w:t>
      </w:r>
      <w:r w:rsidR="00512DED">
        <w:t xml:space="preserve"> </w:t>
      </w:r>
      <w:r w:rsidR="0004197E" w:rsidRPr="00A5680E">
        <w:t xml:space="preserve">Therefore, we hypothesized that </w:t>
      </w:r>
      <w:r w:rsidR="0004197E" w:rsidRPr="009A324D">
        <w:rPr>
          <w:i/>
        </w:rPr>
        <w:t>in vivo</w:t>
      </w:r>
      <w:r w:rsidR="0004197E">
        <w:t xml:space="preserve"> </w:t>
      </w:r>
      <w:r w:rsidR="0004197E" w:rsidRPr="00A5680E">
        <w:t>URAT1 activity</w:t>
      </w:r>
      <w:r w:rsidR="0004197E">
        <w:t xml:space="preserve"> could</w:t>
      </w:r>
      <w:r w:rsidR="0004197E" w:rsidRPr="00A5680E">
        <w:t xml:space="preserve"> be evaluated stably by exogenously administering </w:t>
      </w:r>
      <w:r w:rsidR="0004197E">
        <w:t>UA</w:t>
      </w:r>
      <w:r w:rsidR="0004197E" w:rsidRPr="00A5680E">
        <w:t xml:space="preserve"> </w:t>
      </w:r>
      <w:r w:rsidR="0004197E">
        <w:t>analogue</w:t>
      </w:r>
      <w:r w:rsidR="00E2643E">
        <w:t xml:space="preserve"> which is </w:t>
      </w:r>
      <w:r w:rsidR="00AC6953">
        <w:t xml:space="preserve">resistant to uricase. The purpose of this study is </w:t>
      </w:r>
      <w:r w:rsidR="00903CC1">
        <w:t xml:space="preserve">to </w:t>
      </w:r>
      <w:r w:rsidR="00AC6953">
        <w:t>investigate</w:t>
      </w:r>
      <w:r w:rsidR="0004197E" w:rsidRPr="00A5680E">
        <w:t xml:space="preserve"> the u</w:t>
      </w:r>
      <w:r w:rsidR="0004197E">
        <w:t>sefulness</w:t>
      </w:r>
      <w:r w:rsidR="0004197E" w:rsidRPr="00A5680E">
        <w:t xml:space="preserve"> of </w:t>
      </w:r>
      <w:r w:rsidR="00903CC1">
        <w:t>UA analogues for</w:t>
      </w:r>
      <w:r w:rsidR="0004197E">
        <w:t xml:space="preserve"> evaluation of URAT1</w:t>
      </w:r>
      <w:r w:rsidR="00AC6953">
        <w:t xml:space="preserve"> </w:t>
      </w:r>
      <w:r w:rsidR="0004197E">
        <w:t>in</w:t>
      </w:r>
      <w:r w:rsidR="0004197E" w:rsidRPr="00617A42">
        <w:t xml:space="preserve"> </w:t>
      </w:r>
      <w:r w:rsidR="0004197E">
        <w:t>rats</w:t>
      </w:r>
      <w:r w:rsidR="0004197E" w:rsidRPr="00A5680E">
        <w:t>.</w:t>
      </w:r>
    </w:p>
    <w:p w:rsidR="00106A2A" w:rsidRDefault="00106A2A">
      <w:r w:rsidRPr="00106A2A">
        <w:rPr>
          <w:b/>
        </w:rPr>
        <w:t>M</w:t>
      </w:r>
      <w:r>
        <w:rPr>
          <w:b/>
        </w:rPr>
        <w:t>ethod</w:t>
      </w:r>
      <w:r>
        <w:t>:</w:t>
      </w:r>
      <w:r w:rsidR="00AA014B">
        <w:t xml:space="preserve"> </w:t>
      </w:r>
      <w:r w:rsidR="00E2643E">
        <w:t>Used</w:t>
      </w:r>
      <w:r w:rsidR="00AA014B">
        <w:t xml:space="preserve"> UA analogues </w:t>
      </w:r>
      <w:r w:rsidR="00E2643E">
        <w:t xml:space="preserve">were </w:t>
      </w:r>
      <w:r w:rsidR="00AA014B">
        <w:t xml:space="preserve">1-methyluric acid (MU), 1, 3-dimethyliuric acid (DMU), 6-thiouric acid (TUA), </w:t>
      </w:r>
      <w:r w:rsidR="00E2643E">
        <w:t xml:space="preserve">and </w:t>
      </w:r>
      <w:r w:rsidR="00AA014B">
        <w:t>oxypurinol (OX)</w:t>
      </w:r>
      <w:r w:rsidR="00E2643E">
        <w:t xml:space="preserve">. Uptake </w:t>
      </w:r>
      <w:r w:rsidR="00D536FC">
        <w:t xml:space="preserve">study </w:t>
      </w:r>
      <w:r w:rsidR="00E2643E">
        <w:t xml:space="preserve">of these </w:t>
      </w:r>
      <w:r w:rsidR="001B3989">
        <w:t xml:space="preserve">compounds </w:t>
      </w:r>
      <w:r w:rsidR="00E2643E">
        <w:t xml:space="preserve">was conducted </w:t>
      </w:r>
      <w:r w:rsidR="00AA014B">
        <w:t>using</w:t>
      </w:r>
      <w:r w:rsidR="00AA014B" w:rsidRPr="00565FC5">
        <w:t xml:space="preserve"> </w:t>
      </w:r>
      <w:r w:rsidR="00AA014B">
        <w:t xml:space="preserve">rUrat1-expressing </w:t>
      </w:r>
      <w:r w:rsidR="00AA014B" w:rsidRPr="009A324D">
        <w:rPr>
          <w:i/>
        </w:rPr>
        <w:t>Xenopus</w:t>
      </w:r>
      <w:r w:rsidR="00AA014B">
        <w:t xml:space="preserve"> oocytes. The reabsorptive permeability of UA analogues was investigated using double-transfected MDCKII cells of </w:t>
      </w:r>
      <w:r w:rsidR="00AA014B">
        <w:rPr>
          <w:rFonts w:hint="eastAsia"/>
        </w:rPr>
        <w:t>URAT1 and GLUT9</w:t>
      </w:r>
      <w:r w:rsidR="00AA014B">
        <w:t xml:space="preserve">. Metabolism of these compounds was examined using rat liver S9 fraction and purified uricase. </w:t>
      </w:r>
      <w:r w:rsidR="00155F0A">
        <w:t>Rat</w:t>
      </w:r>
      <w:r w:rsidR="00AA014B">
        <w:t xml:space="preserve"> </w:t>
      </w:r>
      <w:r w:rsidR="00AA014B" w:rsidRPr="009A324D">
        <w:rPr>
          <w:i/>
        </w:rPr>
        <w:t>in vivo</w:t>
      </w:r>
      <w:r w:rsidR="00AA014B">
        <w:t xml:space="preserve"> pharmacokinetic study</w:t>
      </w:r>
      <w:r w:rsidR="00155F0A">
        <w:t xml:space="preserve"> of </w:t>
      </w:r>
      <w:r w:rsidR="00AA014B">
        <w:t>UA analogues w</w:t>
      </w:r>
      <w:r w:rsidR="00155F0A">
        <w:t>as</w:t>
      </w:r>
      <w:r w:rsidR="00AA014B">
        <w:t xml:space="preserve"> </w:t>
      </w:r>
      <w:r w:rsidR="00155F0A">
        <w:t xml:space="preserve">performed after i.v. administration </w:t>
      </w:r>
      <w:r w:rsidR="004401F0">
        <w:t xml:space="preserve">of UA analogues </w:t>
      </w:r>
      <w:r w:rsidR="00AA014B">
        <w:t>to male Wistar rats</w:t>
      </w:r>
      <w:r w:rsidR="00155F0A">
        <w:t xml:space="preserve"> and</w:t>
      </w:r>
      <w:r w:rsidR="00AA014B">
        <w:t xml:space="preserve"> FE (fractional urinary excretion of the used compounds relative </w:t>
      </w:r>
      <w:r w:rsidR="004538D4">
        <w:t>to creatinine) was evaluated.</w:t>
      </w:r>
    </w:p>
    <w:p w:rsidR="00106A2A" w:rsidRDefault="00106A2A">
      <w:r w:rsidRPr="00106A2A">
        <w:rPr>
          <w:b/>
        </w:rPr>
        <w:t>Findings</w:t>
      </w:r>
      <w:r>
        <w:t>:</w:t>
      </w:r>
      <w:r w:rsidR="00AA014B">
        <w:t xml:space="preserve"> </w:t>
      </w:r>
      <w:r w:rsidR="00155F0A">
        <w:t xml:space="preserve">All of four </w:t>
      </w:r>
      <w:r w:rsidR="00AA014B">
        <w:t>UA analogues</w:t>
      </w:r>
      <w:r w:rsidR="00155F0A">
        <w:t>, especially MU and OX,</w:t>
      </w:r>
      <w:r w:rsidR="00AA014B">
        <w:t xml:space="preserve"> </w:t>
      </w:r>
      <w:r w:rsidR="00155F0A">
        <w:t xml:space="preserve">were found as good substrates of </w:t>
      </w:r>
      <w:r w:rsidR="00AA014B">
        <w:t>rUrat1</w:t>
      </w:r>
      <w:r w:rsidR="00155F0A">
        <w:t xml:space="preserve">. </w:t>
      </w:r>
      <w:r w:rsidR="00AA014B">
        <w:t xml:space="preserve">Transcellular </w:t>
      </w:r>
      <w:r w:rsidR="00155F0A">
        <w:t>transport</w:t>
      </w:r>
      <w:r w:rsidR="00AA014B">
        <w:t xml:space="preserve"> of MU and OX in URAT1/GLUT9-expressing cells was increased compared to that in mock cells</w:t>
      </w:r>
      <w:r w:rsidR="00155F0A">
        <w:t xml:space="preserve">, showing that MU and OX could be reabsorbed in similar manner with UA. In addition, they were not subject to metabolism by uricase, </w:t>
      </w:r>
      <w:r w:rsidR="001B3989">
        <w:t>W</w:t>
      </w:r>
      <w:r w:rsidR="00AA014B" w:rsidRPr="0078468A">
        <w:t xml:space="preserve">hen </w:t>
      </w:r>
      <w:r w:rsidR="00AA014B">
        <w:t xml:space="preserve">OX </w:t>
      </w:r>
      <w:r w:rsidR="00AA014B" w:rsidRPr="0078468A">
        <w:t>was administered to rat</w:t>
      </w:r>
      <w:r w:rsidR="00AA014B">
        <w:t xml:space="preserve"> with uricosuric agent</w:t>
      </w:r>
      <w:r w:rsidR="00AA014B" w:rsidRPr="0078468A">
        <w:t xml:space="preserve">, </w:t>
      </w:r>
      <w:r w:rsidR="00AA014B">
        <w:t>FE was increased by 20%, while plasma concentration</w:t>
      </w:r>
      <w:r w:rsidR="00AA014B" w:rsidRPr="0078468A">
        <w:t xml:space="preserve"> </w:t>
      </w:r>
      <w:r w:rsidR="00AA014B">
        <w:t>was not affected.</w:t>
      </w:r>
    </w:p>
    <w:p w:rsidR="00106A2A" w:rsidRDefault="00106A2A">
      <w:r w:rsidRPr="00106A2A">
        <w:rPr>
          <w:b/>
        </w:rPr>
        <w:t>Conclusion</w:t>
      </w:r>
      <w:r>
        <w:t>:</w:t>
      </w:r>
      <w:r w:rsidR="00AA014B">
        <w:t xml:space="preserve"> These results demonstrated that UA analogues</w:t>
      </w:r>
      <w:r w:rsidR="00155F0A">
        <w:t xml:space="preserve"> such as OX</w:t>
      </w:r>
      <w:r w:rsidR="00AA014B" w:rsidRPr="00AB7325">
        <w:t xml:space="preserve"> </w:t>
      </w:r>
      <w:r w:rsidR="00AA014B">
        <w:t xml:space="preserve">could be used for </w:t>
      </w:r>
      <w:r w:rsidR="00AA014B" w:rsidRPr="001B1860">
        <w:rPr>
          <w:i/>
        </w:rPr>
        <w:t>in vivo</w:t>
      </w:r>
      <w:r w:rsidR="00AA014B">
        <w:t xml:space="preserve"> evaluation of URAT1 activit</w:t>
      </w:r>
      <w:r w:rsidR="004F1072">
        <w:t>y by measuring urinary recovery</w:t>
      </w:r>
      <w:r w:rsidR="00155F0A">
        <w:t xml:space="preserve"> without considering further metabolism.</w:t>
      </w:r>
    </w:p>
    <w:p w:rsidR="004A0229" w:rsidRDefault="004A0229"/>
    <w:p w:rsidR="004A0229" w:rsidRDefault="004A0229"/>
    <w:p w:rsidR="004A0229" w:rsidRDefault="004A0229"/>
    <w:p w:rsidR="007D5378" w:rsidRDefault="003E7517">
      <w:r>
        <w:lastRenderedPageBreak/>
        <w:t>Image</w:t>
      </w:r>
    </w:p>
    <w:p w:rsidR="004418D5" w:rsidRDefault="00950EB6">
      <w:pPr>
        <w:rPr>
          <w:rFonts w:ascii="Arial" w:hAnsi="Arial" w:cs="Arial"/>
          <w:sz w:val="20"/>
        </w:rPr>
      </w:pPr>
      <w:r w:rsidRPr="00950EB6">
        <w:rPr>
          <w:rFonts w:ascii="Arial" w:hAnsi="Arial" w:cs="Arial"/>
          <w:noProof/>
          <w:sz w:val="20"/>
        </w:rPr>
        <w:drawing>
          <wp:inline distT="0" distB="0" distL="0" distR="0">
            <wp:extent cx="5400040" cy="3577631"/>
            <wp:effectExtent l="0" t="0" r="0" b="381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577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18D5" w:rsidRDefault="004418D5">
      <w:pPr>
        <w:rPr>
          <w:rFonts w:ascii="Arial" w:hAnsi="Arial" w:cs="Arial"/>
          <w:sz w:val="20"/>
        </w:rPr>
      </w:pPr>
    </w:p>
    <w:p w:rsidR="004A0229" w:rsidRDefault="004A0229">
      <w:r>
        <w:t>Recent publications</w:t>
      </w:r>
    </w:p>
    <w:p w:rsidR="004A0229" w:rsidRDefault="004A0229" w:rsidP="009063A8">
      <w:pPr>
        <w:ind w:left="210" w:hangingChars="100" w:hanging="210"/>
      </w:pPr>
      <w:r>
        <w:t xml:space="preserve">1. </w:t>
      </w:r>
      <w:r w:rsidR="003E7517">
        <w:t xml:space="preserve">Enomoto A, Kimura H, Chairoungdua A, Shugeta Y, Jutabha P, Cha SH </w:t>
      </w:r>
      <w:r w:rsidR="00AF313C">
        <w:t>et al.,</w:t>
      </w:r>
      <w:r w:rsidR="009063A8">
        <w:t xml:space="preserve"> (2002) Molecular identification of a renal urate-anion exchanger that regulates blood urate levels. Nature 417: 447-</w:t>
      </w:r>
      <w:r w:rsidR="00AF313C">
        <w:t>4</w:t>
      </w:r>
      <w:r w:rsidR="009063A8">
        <w:t>52</w:t>
      </w:r>
      <w:r w:rsidR="00AF313C">
        <w:t>.</w:t>
      </w:r>
    </w:p>
    <w:p w:rsidR="009063A8" w:rsidRPr="001B4310" w:rsidRDefault="009063A8" w:rsidP="009063A8">
      <w:pPr>
        <w:ind w:left="210" w:hangingChars="100" w:hanging="210"/>
        <w:rPr>
          <w:szCs w:val="21"/>
        </w:rPr>
      </w:pPr>
      <w:r w:rsidRPr="00AF313C">
        <w:rPr>
          <w:szCs w:val="21"/>
        </w:rPr>
        <w:t xml:space="preserve">2. </w:t>
      </w:r>
      <w:r w:rsidR="007818D1" w:rsidRPr="00AF313C">
        <w:rPr>
          <w:szCs w:val="21"/>
        </w:rPr>
        <w:t>Iwanaga T, Kobayashi D, Hirayama M, Maeda T, Tamai I (2005) Involvement of uric acid transpo</w:t>
      </w:r>
      <w:r w:rsidR="00AF313C" w:rsidRPr="00AF313C">
        <w:rPr>
          <w:szCs w:val="21"/>
        </w:rPr>
        <w:t>r</w:t>
      </w:r>
      <w:r w:rsidR="007818D1" w:rsidRPr="00AF313C">
        <w:rPr>
          <w:szCs w:val="21"/>
        </w:rPr>
        <w:t xml:space="preserve">ter in increase renal clearance of the xanthine oxidase inhibitor oxypurinol induced by a uricosuric agent, benzbromarone. Drug </w:t>
      </w:r>
      <w:r w:rsidR="00155F0A" w:rsidRPr="00AF313C">
        <w:rPr>
          <w:szCs w:val="21"/>
        </w:rPr>
        <w:t>Metab</w:t>
      </w:r>
      <w:r w:rsidR="007818D1" w:rsidRPr="001B4310">
        <w:rPr>
          <w:szCs w:val="21"/>
        </w:rPr>
        <w:t xml:space="preserve"> </w:t>
      </w:r>
      <w:r w:rsidR="00155F0A" w:rsidRPr="001B4310">
        <w:rPr>
          <w:szCs w:val="21"/>
        </w:rPr>
        <w:t>Dispos</w:t>
      </w:r>
      <w:r w:rsidR="007818D1" w:rsidRPr="001B4310">
        <w:rPr>
          <w:szCs w:val="21"/>
        </w:rPr>
        <w:t xml:space="preserve"> 33: 1791-1795</w:t>
      </w:r>
      <w:r w:rsidR="00AF313C" w:rsidRPr="001B4310">
        <w:rPr>
          <w:szCs w:val="21"/>
        </w:rPr>
        <w:t>.</w:t>
      </w:r>
    </w:p>
    <w:p w:rsidR="00AF313C" w:rsidRPr="004401F0" w:rsidRDefault="007818D1" w:rsidP="003C773C">
      <w:pPr>
        <w:adjustRightInd w:val="0"/>
        <w:spacing w:line="360" w:lineRule="exact"/>
        <w:ind w:left="210" w:hangingChars="100" w:hanging="210"/>
        <w:textAlignment w:val="baseline"/>
        <w:rPr>
          <w:szCs w:val="21"/>
        </w:rPr>
      </w:pPr>
      <w:r w:rsidRPr="001B4310">
        <w:rPr>
          <w:szCs w:val="21"/>
        </w:rPr>
        <w:t xml:space="preserve">3. </w:t>
      </w:r>
      <w:r w:rsidR="00AF313C" w:rsidRPr="004401F0">
        <w:rPr>
          <w:szCs w:val="21"/>
        </w:rPr>
        <w:t>Iwanaga T., Sato M., Maeda T., Ogihara T., and Tamai, I. (2007) Concentration-dependent mode of interaction of angiotensin II receptor blockers with uric acid transporter URAT1</w:t>
      </w:r>
      <w:r w:rsidR="00AF313C" w:rsidRPr="003C773C">
        <w:rPr>
          <w:i/>
          <w:szCs w:val="21"/>
        </w:rPr>
        <w:t>.</w:t>
      </w:r>
      <w:r w:rsidR="00AF313C" w:rsidRPr="003C773C">
        <w:rPr>
          <w:szCs w:val="21"/>
        </w:rPr>
        <w:t xml:space="preserve"> J Pharmacol Exp Ther 320</w:t>
      </w:r>
      <w:r w:rsidR="00AF313C" w:rsidRPr="004401F0">
        <w:rPr>
          <w:szCs w:val="21"/>
        </w:rPr>
        <w:t>: 211-217 (2007).</w:t>
      </w:r>
    </w:p>
    <w:p w:rsidR="00CC6916" w:rsidRPr="004401F0" w:rsidRDefault="00CC6916" w:rsidP="00D536FC">
      <w:pPr>
        <w:ind w:left="210" w:hangingChars="100" w:hanging="210"/>
        <w:rPr>
          <w:szCs w:val="21"/>
        </w:rPr>
      </w:pPr>
      <w:r w:rsidRPr="001B4310">
        <w:rPr>
          <w:szCs w:val="21"/>
        </w:rPr>
        <w:t>4. Nakanishi T, Ohya K, Shimada S, Anzai N, Tamai I (2013) Functional cooperation of URAT1 (SLC22A12) and URATv1 (SLC2A9) in renal reabsorption of urate. Nephrol</w:t>
      </w:r>
      <w:r w:rsidRPr="004401F0">
        <w:rPr>
          <w:szCs w:val="21"/>
        </w:rPr>
        <w:t xml:space="preserve"> Dial Transplant 28: 603-611</w:t>
      </w:r>
      <w:r w:rsidR="00AF313C" w:rsidRPr="004401F0">
        <w:rPr>
          <w:szCs w:val="21"/>
        </w:rPr>
        <w:t>.</w:t>
      </w:r>
    </w:p>
    <w:p w:rsidR="00CC6916" w:rsidRDefault="00CC6916" w:rsidP="00CC6916">
      <w:pPr>
        <w:ind w:left="210" w:hangingChars="100" w:hanging="210"/>
      </w:pPr>
      <w:r w:rsidRPr="004401F0">
        <w:rPr>
          <w:szCs w:val="21"/>
        </w:rPr>
        <w:t>5. Taniguchi T, Ashizawa N, Mats</w:t>
      </w:r>
      <w:r>
        <w:t>umoto K, Iwanaga T, Saitoh K (2016) uricosuric agents decrease the plasma urate level in rats by concomitant treatment with topiroxostat, a novel xanthine oxidoreductase inhibitor. J Pharm Pharmacol 68: 76-83</w:t>
      </w:r>
      <w:r w:rsidR="00AF313C">
        <w:t>.</w:t>
      </w:r>
    </w:p>
    <w:p w:rsidR="00CC6916" w:rsidRDefault="00CC6916" w:rsidP="00CC6916">
      <w:pPr>
        <w:ind w:left="210" w:hangingChars="100" w:hanging="210"/>
      </w:pPr>
      <w:r>
        <w:t xml:space="preserve">6. </w:t>
      </w:r>
      <w:r w:rsidR="007A4288">
        <w:t xml:space="preserve">Stamp LK, Wells JE, Pitama S, Faatoese A, Doughty RN, Whalley G, Richards AM, </w:t>
      </w:r>
      <w:r w:rsidR="007A4288">
        <w:lastRenderedPageBreak/>
        <w:t>Cameron VA (2013) Hyperuricemia and gout in New Zealand rural and urban Maori</w:t>
      </w:r>
      <w:r w:rsidR="00827865">
        <w:rPr>
          <w:rFonts w:hint="eastAsia"/>
        </w:rPr>
        <w:t xml:space="preserve">　</w:t>
      </w:r>
      <w:r w:rsidR="007A4288">
        <w:t>and non Maori communities. Intern Med J 43: 678-684</w:t>
      </w:r>
      <w:r w:rsidR="00AF313C">
        <w:t>.</w:t>
      </w:r>
    </w:p>
    <w:p w:rsidR="001B4310" w:rsidRDefault="001B4310"/>
    <w:p w:rsidR="005C1BD8" w:rsidRDefault="005C1BD8">
      <w:r>
        <w:t>B</w:t>
      </w:r>
      <w:r>
        <w:rPr>
          <w:rFonts w:hint="eastAsia"/>
        </w:rPr>
        <w:t>iography</w:t>
      </w:r>
    </w:p>
    <w:p w:rsidR="005C1BD8" w:rsidRPr="00B16191" w:rsidRDefault="00D9449C">
      <w:r>
        <w:t xml:space="preserve">Undergraduate student at </w:t>
      </w:r>
      <w:r w:rsidR="007D5378" w:rsidRPr="004B12EE">
        <w:t>Faculty of Pharmaceutical Science, Institute of Medical, Pharmaceutical and Health Sciences, Kanazawa University, Japan</w:t>
      </w:r>
      <w:r w:rsidR="007D5378">
        <w:t>.</w:t>
      </w:r>
      <w:r w:rsidR="007D5378">
        <w:rPr>
          <w:rFonts w:hint="eastAsia"/>
        </w:rPr>
        <w:t xml:space="preserve"> </w:t>
      </w:r>
      <w:r w:rsidR="007D5378">
        <w:t>I work on a study about substrate selectivity of URAT1 and the establishment the model which</w:t>
      </w:r>
      <w:r w:rsidR="00827865">
        <w:t xml:space="preserve"> can evaluate a function of URA</w:t>
      </w:r>
      <w:r w:rsidR="00827865">
        <w:rPr>
          <w:rFonts w:hint="eastAsia"/>
        </w:rPr>
        <w:t>T</w:t>
      </w:r>
      <w:r w:rsidR="007D5378">
        <w:t xml:space="preserve">1 </w:t>
      </w:r>
      <w:r w:rsidR="007D5378" w:rsidRPr="00950EB6">
        <w:rPr>
          <w:i/>
        </w:rPr>
        <w:t>in vivo</w:t>
      </w:r>
      <w:r w:rsidR="007D5378">
        <w:t>.</w:t>
      </w:r>
    </w:p>
    <w:sectPr w:rsidR="005C1BD8" w:rsidRPr="00B1619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7C80" w:rsidRDefault="00477C80" w:rsidP="00120513">
      <w:r>
        <w:separator/>
      </w:r>
    </w:p>
  </w:endnote>
  <w:endnote w:type="continuationSeparator" w:id="0">
    <w:p w:rsidR="00477C80" w:rsidRDefault="00477C80" w:rsidP="001205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7C80" w:rsidRDefault="00477C80" w:rsidP="00120513">
      <w:r>
        <w:separator/>
      </w:r>
    </w:p>
  </w:footnote>
  <w:footnote w:type="continuationSeparator" w:id="0">
    <w:p w:rsidR="00477C80" w:rsidRDefault="00477C80" w:rsidP="001205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4"/>
    <w:multiLevelType w:val="singleLevel"/>
    <w:tmpl w:val="F87A21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  <w:iCs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191"/>
    <w:rsid w:val="0004197E"/>
    <w:rsid w:val="000971C6"/>
    <w:rsid w:val="00106A2A"/>
    <w:rsid w:val="00120513"/>
    <w:rsid w:val="00155F0A"/>
    <w:rsid w:val="00172D12"/>
    <w:rsid w:val="001B3989"/>
    <w:rsid w:val="001B4310"/>
    <w:rsid w:val="002D72B3"/>
    <w:rsid w:val="00307634"/>
    <w:rsid w:val="00311211"/>
    <w:rsid w:val="00327F9E"/>
    <w:rsid w:val="00366324"/>
    <w:rsid w:val="00372D33"/>
    <w:rsid w:val="00390993"/>
    <w:rsid w:val="003C773C"/>
    <w:rsid w:val="003D6934"/>
    <w:rsid w:val="003D6DF5"/>
    <w:rsid w:val="003E7517"/>
    <w:rsid w:val="004401F0"/>
    <w:rsid w:val="004418D5"/>
    <w:rsid w:val="004538D4"/>
    <w:rsid w:val="00477C80"/>
    <w:rsid w:val="004A0229"/>
    <w:rsid w:val="004F1072"/>
    <w:rsid w:val="00512DED"/>
    <w:rsid w:val="0056366A"/>
    <w:rsid w:val="005C1BD8"/>
    <w:rsid w:val="006C09AA"/>
    <w:rsid w:val="007818D1"/>
    <w:rsid w:val="0079405A"/>
    <w:rsid w:val="007A4288"/>
    <w:rsid w:val="007A77B2"/>
    <w:rsid w:val="007D5378"/>
    <w:rsid w:val="00827865"/>
    <w:rsid w:val="00874570"/>
    <w:rsid w:val="0088526B"/>
    <w:rsid w:val="008F30D8"/>
    <w:rsid w:val="00903CC1"/>
    <w:rsid w:val="009063A8"/>
    <w:rsid w:val="00950EB6"/>
    <w:rsid w:val="00A67ACE"/>
    <w:rsid w:val="00AA014B"/>
    <w:rsid w:val="00AC4C7C"/>
    <w:rsid w:val="00AC6953"/>
    <w:rsid w:val="00AF313C"/>
    <w:rsid w:val="00B16191"/>
    <w:rsid w:val="00B41A6B"/>
    <w:rsid w:val="00C43FFD"/>
    <w:rsid w:val="00CC6916"/>
    <w:rsid w:val="00D06934"/>
    <w:rsid w:val="00D536FC"/>
    <w:rsid w:val="00D9449C"/>
    <w:rsid w:val="00E1119C"/>
    <w:rsid w:val="00E22B71"/>
    <w:rsid w:val="00E2643E"/>
    <w:rsid w:val="00E60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0FF2392-0B67-419F-A7D5-B8722B5E4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619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05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20513"/>
  </w:style>
  <w:style w:type="paragraph" w:styleId="a5">
    <w:name w:val="footer"/>
    <w:basedOn w:val="a"/>
    <w:link w:val="a6"/>
    <w:uiPriority w:val="99"/>
    <w:unhideWhenUsed/>
    <w:rsid w:val="001205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20513"/>
  </w:style>
  <w:style w:type="character" w:customStyle="1" w:styleId="popupw">
    <w:name w:val="popupw"/>
    <w:basedOn w:val="a0"/>
    <w:rsid w:val="007D5378"/>
  </w:style>
  <w:style w:type="paragraph" w:styleId="a7">
    <w:name w:val="Balloon Text"/>
    <w:basedOn w:val="a"/>
    <w:link w:val="a8"/>
    <w:uiPriority w:val="99"/>
    <w:semiHidden/>
    <w:unhideWhenUsed/>
    <w:rsid w:val="00B41A6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41A6B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3C773C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3C773C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3C773C"/>
  </w:style>
  <w:style w:type="paragraph" w:styleId="ac">
    <w:name w:val="annotation subject"/>
    <w:basedOn w:val="aa"/>
    <w:next w:val="aa"/>
    <w:link w:val="ad"/>
    <w:uiPriority w:val="99"/>
    <w:semiHidden/>
    <w:unhideWhenUsed/>
    <w:rsid w:val="003C773C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3C773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588</Words>
  <Characters>3353</Characters>
  <Application>Microsoft Office Word</Application>
  <DocSecurity>0</DocSecurity>
  <Lines>27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雨澤 奈津美</dc:creator>
  <cp:keywords/>
  <dc:description/>
  <cp:lastModifiedBy>雨澤 奈津美</cp:lastModifiedBy>
  <cp:revision>3</cp:revision>
  <cp:lastPrinted>2018-06-27T11:45:00Z</cp:lastPrinted>
  <dcterms:created xsi:type="dcterms:W3CDTF">2018-07-04T02:28:00Z</dcterms:created>
  <dcterms:modified xsi:type="dcterms:W3CDTF">2018-07-04T02:43:00Z</dcterms:modified>
</cp:coreProperties>
</file>