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D8CD1F" w14:textId="77777777" w:rsidR="00F82F97" w:rsidRPr="007C5ECE" w:rsidRDefault="00F82F97" w:rsidP="007C5ECE">
      <w:pPr>
        <w:pStyle w:val="Heading1"/>
        <w:spacing w:before="170"/>
        <w:ind w:left="0"/>
        <w:jc w:val="center"/>
        <w:rPr>
          <w:color w:val="337AB7"/>
        </w:rPr>
      </w:pPr>
      <w:bookmarkStart w:id="0" w:name="_GoBack"/>
      <w:bookmarkEnd w:id="0"/>
      <w:r w:rsidRPr="007C5ECE">
        <w:rPr>
          <w:color w:val="337AB7"/>
        </w:rPr>
        <w:t>Neurological actions of honeybee products</w:t>
      </w:r>
    </w:p>
    <w:p w14:paraId="254210E7" w14:textId="77777777" w:rsidR="00F82F97" w:rsidRPr="007C5ECE" w:rsidRDefault="00F82F97" w:rsidP="00FA77B4">
      <w:pPr>
        <w:pStyle w:val="NormalWeb"/>
        <w:jc w:val="center"/>
        <w:rPr>
          <w:rFonts w:asciiTheme="minorBidi" w:hAnsiTheme="minorBidi" w:cstheme="minorBidi"/>
          <w:b/>
          <w:bCs/>
          <w:vertAlign w:val="superscript"/>
        </w:rPr>
      </w:pPr>
      <w:r w:rsidRPr="007C5ECE">
        <w:rPr>
          <w:rFonts w:asciiTheme="minorBidi" w:hAnsiTheme="minorBidi" w:cstheme="minorBidi"/>
          <w:b/>
          <w:bCs/>
        </w:rPr>
        <w:t>Hesham El-</w:t>
      </w:r>
      <w:proofErr w:type="spellStart"/>
      <w:r w:rsidRPr="007C5ECE">
        <w:rPr>
          <w:rFonts w:asciiTheme="minorBidi" w:hAnsiTheme="minorBidi" w:cstheme="minorBidi"/>
          <w:b/>
          <w:bCs/>
        </w:rPr>
        <w:t>Seedi</w:t>
      </w:r>
      <w:r w:rsidRPr="007C5ECE">
        <w:rPr>
          <w:rFonts w:asciiTheme="minorBidi" w:hAnsiTheme="minorBidi" w:cstheme="minorBidi"/>
          <w:b/>
          <w:bCs/>
          <w:vertAlign w:val="superscript"/>
        </w:rPr>
        <w:t>a,b,c</w:t>
      </w:r>
      <w:proofErr w:type="spellEnd"/>
      <w:r w:rsidRPr="007C5ECE">
        <w:rPr>
          <w:rFonts w:asciiTheme="minorBidi" w:hAnsiTheme="minorBidi" w:cstheme="minorBidi"/>
          <w:b/>
          <w:bCs/>
          <w:vertAlign w:val="superscript"/>
        </w:rPr>
        <w:t>*</w:t>
      </w:r>
      <w:r w:rsidRPr="007C5ECE">
        <w:rPr>
          <w:rFonts w:asciiTheme="minorBidi" w:hAnsiTheme="minorBidi" w:cstheme="minorBidi"/>
          <w:b/>
          <w:bCs/>
        </w:rPr>
        <w:t xml:space="preserve"> , </w:t>
      </w:r>
      <w:proofErr w:type="spellStart"/>
      <w:r w:rsidRPr="007C5ECE">
        <w:rPr>
          <w:rFonts w:asciiTheme="minorBidi" w:hAnsiTheme="minorBidi" w:cstheme="minorBidi"/>
          <w:b/>
          <w:bCs/>
        </w:rPr>
        <w:t>Shaden</w:t>
      </w:r>
      <w:proofErr w:type="spellEnd"/>
      <w:r w:rsidRPr="007C5ECE">
        <w:rPr>
          <w:rFonts w:asciiTheme="minorBidi" w:hAnsiTheme="minorBidi" w:cstheme="minorBidi"/>
          <w:b/>
          <w:bCs/>
        </w:rPr>
        <w:t xml:space="preserve"> </w:t>
      </w:r>
      <w:proofErr w:type="spellStart"/>
      <w:r w:rsidRPr="007C5ECE">
        <w:rPr>
          <w:rFonts w:asciiTheme="minorBidi" w:hAnsiTheme="minorBidi" w:cstheme="minorBidi"/>
          <w:b/>
          <w:bCs/>
        </w:rPr>
        <w:t>Khalifa</w:t>
      </w:r>
      <w:r w:rsidRPr="007C5ECE">
        <w:rPr>
          <w:rFonts w:asciiTheme="minorBidi" w:hAnsiTheme="minorBidi" w:cstheme="minorBidi"/>
          <w:b/>
          <w:bCs/>
          <w:vertAlign w:val="superscript"/>
        </w:rPr>
        <w:t>d,e</w:t>
      </w:r>
      <w:proofErr w:type="spellEnd"/>
      <w:r w:rsidRPr="007C5ECE">
        <w:rPr>
          <w:rFonts w:asciiTheme="minorBidi" w:hAnsiTheme="minorBidi" w:cstheme="minorBidi"/>
          <w:b/>
          <w:bCs/>
        </w:rPr>
        <w:t xml:space="preserve">, </w:t>
      </w:r>
      <w:proofErr w:type="spellStart"/>
      <w:r w:rsidRPr="007C5ECE">
        <w:rPr>
          <w:rFonts w:asciiTheme="minorBidi" w:hAnsiTheme="minorBidi" w:cstheme="minorBidi"/>
          <w:b/>
          <w:bCs/>
          <w:color w:val="26282A"/>
          <w:shd w:val="clear" w:color="auto" w:fill="FFFFFF"/>
        </w:rPr>
        <w:t>Jianbo</w:t>
      </w:r>
      <w:proofErr w:type="spellEnd"/>
      <w:r w:rsidRPr="007C5ECE">
        <w:rPr>
          <w:rFonts w:asciiTheme="minorBidi" w:eastAsia="SimSun" w:hAnsiTheme="minorBidi" w:cstheme="minorBidi"/>
          <w:b/>
          <w:bCs/>
        </w:rPr>
        <w:t xml:space="preserve"> </w:t>
      </w:r>
      <w:proofErr w:type="spellStart"/>
      <w:r w:rsidRPr="007C5ECE">
        <w:rPr>
          <w:rFonts w:asciiTheme="minorBidi" w:eastAsia="SimSun" w:hAnsiTheme="minorBidi" w:cstheme="minorBidi"/>
          <w:b/>
          <w:bCs/>
        </w:rPr>
        <w:t>Xiao</w:t>
      </w:r>
      <w:r w:rsidRPr="007C5ECE">
        <w:rPr>
          <w:rFonts w:asciiTheme="minorBidi" w:hAnsiTheme="minorBidi" w:cstheme="minorBidi"/>
          <w:b/>
          <w:bCs/>
          <w:vertAlign w:val="superscript"/>
        </w:rPr>
        <w:t>f</w:t>
      </w:r>
      <w:proofErr w:type="spellEnd"/>
      <w:r w:rsidRPr="007C5ECE">
        <w:rPr>
          <w:rFonts w:asciiTheme="minorBidi" w:hAnsiTheme="minorBidi" w:cstheme="minorBidi"/>
          <w:b/>
          <w:bCs/>
          <w:vertAlign w:val="superscript"/>
        </w:rPr>
        <w:t xml:space="preserve"> </w:t>
      </w:r>
      <w:r w:rsidRPr="007C5ECE">
        <w:rPr>
          <w:rFonts w:asciiTheme="minorBidi" w:hAnsiTheme="minorBidi" w:cstheme="minorBidi"/>
          <w:b/>
          <w:bCs/>
        </w:rPr>
        <w:t xml:space="preserve">, Aida Abd El </w:t>
      </w:r>
      <w:proofErr w:type="spellStart"/>
      <w:r w:rsidRPr="007C5ECE">
        <w:rPr>
          <w:rFonts w:asciiTheme="minorBidi" w:hAnsiTheme="minorBidi" w:cstheme="minorBidi"/>
          <w:b/>
          <w:bCs/>
        </w:rPr>
        <w:t>Wahed</w:t>
      </w:r>
      <w:r w:rsidRPr="007C5ECE">
        <w:rPr>
          <w:rFonts w:asciiTheme="minorBidi" w:hAnsiTheme="minorBidi" w:cstheme="minorBidi"/>
          <w:b/>
          <w:bCs/>
          <w:vertAlign w:val="superscript"/>
        </w:rPr>
        <w:t>a,b,g</w:t>
      </w:r>
      <w:proofErr w:type="spellEnd"/>
      <w:r w:rsidRPr="007C5ECE">
        <w:rPr>
          <w:rFonts w:asciiTheme="minorBidi" w:hAnsiTheme="minorBidi" w:cstheme="minorBidi"/>
          <w:b/>
          <w:bCs/>
        </w:rPr>
        <w:t xml:space="preserve">, </w:t>
      </w:r>
      <w:r w:rsidRPr="007C5ECE">
        <w:rPr>
          <w:rFonts w:asciiTheme="minorBidi" w:eastAsia="Cambria" w:hAnsiTheme="minorBidi" w:cstheme="minorBidi"/>
          <w:b/>
          <w:bCs/>
        </w:rPr>
        <w:t xml:space="preserve">Lei </w:t>
      </w:r>
      <w:proofErr w:type="spellStart"/>
      <w:r w:rsidRPr="007C5ECE">
        <w:rPr>
          <w:rFonts w:asciiTheme="minorBidi" w:eastAsia="Cambria" w:hAnsiTheme="minorBidi" w:cstheme="minorBidi"/>
          <w:b/>
          <w:bCs/>
        </w:rPr>
        <w:t>Chen</w:t>
      </w:r>
      <w:r w:rsidRPr="007C5ECE">
        <w:rPr>
          <w:rFonts w:asciiTheme="minorBidi" w:eastAsia="Cambria" w:hAnsiTheme="minorBidi" w:cstheme="minorBidi"/>
          <w:b/>
          <w:bCs/>
          <w:vertAlign w:val="superscript"/>
        </w:rPr>
        <w:t>h</w:t>
      </w:r>
      <w:proofErr w:type="spellEnd"/>
      <w:r w:rsidRPr="007C5ECE">
        <w:rPr>
          <w:rFonts w:asciiTheme="minorBidi" w:hAnsiTheme="minorBidi" w:cstheme="minorBidi"/>
          <w:b/>
          <w:bCs/>
        </w:rPr>
        <w:t xml:space="preserve"> Mohamed </w:t>
      </w:r>
      <w:proofErr w:type="spellStart"/>
      <w:r w:rsidRPr="007C5ECE">
        <w:rPr>
          <w:rFonts w:asciiTheme="minorBidi" w:hAnsiTheme="minorBidi" w:cstheme="minorBidi"/>
          <w:b/>
          <w:bCs/>
        </w:rPr>
        <w:t>Farag</w:t>
      </w:r>
      <w:r w:rsidRPr="007C5ECE">
        <w:rPr>
          <w:rFonts w:asciiTheme="minorBidi" w:hAnsiTheme="minorBidi" w:cstheme="minorBidi"/>
          <w:b/>
          <w:bCs/>
          <w:vertAlign w:val="superscript"/>
        </w:rPr>
        <w:t>i,j</w:t>
      </w:r>
      <w:proofErr w:type="spellEnd"/>
      <w:r w:rsidRPr="007C5ECE">
        <w:rPr>
          <w:rFonts w:asciiTheme="minorBidi" w:hAnsiTheme="minorBidi" w:cstheme="minorBidi"/>
          <w:b/>
          <w:bCs/>
        </w:rPr>
        <w:t xml:space="preserve"> and </w:t>
      </w:r>
      <w:r w:rsidRPr="007C5ECE">
        <w:rPr>
          <w:rFonts w:asciiTheme="minorBidi" w:hAnsiTheme="minorBidi" w:cstheme="minorBidi"/>
          <w:b/>
          <w:bCs/>
          <w:shd w:val="clear" w:color="auto" w:fill="FFFFFF"/>
        </w:rPr>
        <w:t xml:space="preserve">Ghulam </w:t>
      </w:r>
      <w:proofErr w:type="spellStart"/>
      <w:r w:rsidRPr="007C5ECE">
        <w:rPr>
          <w:rFonts w:asciiTheme="minorBidi" w:hAnsiTheme="minorBidi" w:cstheme="minorBidi"/>
          <w:b/>
          <w:bCs/>
        </w:rPr>
        <w:t>Abbas</w:t>
      </w:r>
      <w:r w:rsidRPr="007C5ECE">
        <w:rPr>
          <w:rFonts w:asciiTheme="minorBidi" w:hAnsiTheme="minorBidi" w:cstheme="minorBidi"/>
          <w:b/>
          <w:bCs/>
          <w:vertAlign w:val="superscript"/>
        </w:rPr>
        <w:t>c,k</w:t>
      </w:r>
      <w:proofErr w:type="spellEnd"/>
      <w:r w:rsidRPr="007C5ECE">
        <w:rPr>
          <w:rFonts w:asciiTheme="minorBidi" w:hAnsiTheme="minorBidi" w:cstheme="minorBidi"/>
          <w:b/>
          <w:bCs/>
          <w:vertAlign w:val="superscript"/>
        </w:rPr>
        <w:t>*</w:t>
      </w:r>
    </w:p>
    <w:p w14:paraId="285F625B" w14:textId="77777777" w:rsidR="00F82F97" w:rsidRPr="007C5ECE" w:rsidRDefault="00F82F97" w:rsidP="00FA77B4">
      <w:pPr>
        <w:autoSpaceDE w:val="0"/>
        <w:autoSpaceDN w:val="0"/>
        <w:adjustRightInd w:val="0"/>
        <w:jc w:val="both"/>
        <w:rPr>
          <w:rFonts w:asciiTheme="minorBidi" w:hAnsiTheme="minorBidi" w:cstheme="minorBidi"/>
          <w:sz w:val="24"/>
          <w:szCs w:val="24"/>
        </w:rPr>
      </w:pPr>
      <w:proofErr w:type="spellStart"/>
      <w:r w:rsidRPr="007C5ECE">
        <w:rPr>
          <w:rFonts w:asciiTheme="minorBidi" w:hAnsiTheme="minorBidi" w:cstheme="minorBidi"/>
          <w:sz w:val="24"/>
          <w:szCs w:val="24"/>
          <w:vertAlign w:val="superscript"/>
        </w:rPr>
        <w:t>a</w:t>
      </w:r>
      <w:r w:rsidRPr="007C5ECE">
        <w:rPr>
          <w:rFonts w:asciiTheme="minorBidi" w:hAnsiTheme="minorBidi" w:cstheme="minorBidi"/>
          <w:sz w:val="24"/>
          <w:szCs w:val="24"/>
        </w:rPr>
        <w:t>Division</w:t>
      </w:r>
      <w:proofErr w:type="spellEnd"/>
      <w:r w:rsidRPr="007C5ECE">
        <w:rPr>
          <w:rFonts w:asciiTheme="minorBidi" w:hAnsiTheme="minorBidi" w:cstheme="minorBidi"/>
          <w:sz w:val="24"/>
          <w:szCs w:val="24"/>
        </w:rPr>
        <w:t xml:space="preserve"> of Pharmacognosy, Department of Medicinal Chemistry, Uppsala University, Biomedical Centre, Box 574, SE-751 23, Uppsala, Sweden</w:t>
      </w:r>
    </w:p>
    <w:p w14:paraId="6E4D0703" w14:textId="77777777" w:rsidR="00F82F97" w:rsidRPr="007C5ECE" w:rsidRDefault="00F82F97" w:rsidP="00FA77B4">
      <w:pPr>
        <w:autoSpaceDE w:val="0"/>
        <w:autoSpaceDN w:val="0"/>
        <w:adjustRightInd w:val="0"/>
        <w:jc w:val="both"/>
        <w:rPr>
          <w:rFonts w:asciiTheme="minorBidi" w:hAnsiTheme="minorBidi" w:cstheme="minorBidi"/>
          <w:sz w:val="24"/>
          <w:szCs w:val="24"/>
        </w:rPr>
      </w:pPr>
      <w:r w:rsidRPr="007C5ECE">
        <w:rPr>
          <w:rFonts w:asciiTheme="minorBidi" w:hAnsiTheme="minorBidi" w:cstheme="minorBidi"/>
          <w:sz w:val="24"/>
          <w:szCs w:val="24"/>
        </w:rPr>
        <w:t xml:space="preserve"> </w:t>
      </w:r>
      <w:proofErr w:type="spellStart"/>
      <w:r w:rsidRPr="007C5ECE">
        <w:rPr>
          <w:rFonts w:asciiTheme="minorBidi" w:hAnsiTheme="minorBidi" w:cstheme="minorBidi"/>
          <w:sz w:val="24"/>
          <w:szCs w:val="24"/>
          <w:vertAlign w:val="superscript"/>
        </w:rPr>
        <w:t>b</w:t>
      </w:r>
      <w:r w:rsidRPr="007C5ECE">
        <w:rPr>
          <w:rFonts w:asciiTheme="minorBidi" w:hAnsiTheme="minorBidi" w:cstheme="minorBidi"/>
          <w:sz w:val="24"/>
          <w:szCs w:val="24"/>
        </w:rPr>
        <w:t>Department</w:t>
      </w:r>
      <w:proofErr w:type="spellEnd"/>
      <w:r w:rsidRPr="007C5ECE">
        <w:rPr>
          <w:rFonts w:asciiTheme="minorBidi" w:hAnsiTheme="minorBidi" w:cstheme="minorBidi"/>
          <w:sz w:val="24"/>
          <w:szCs w:val="24"/>
        </w:rPr>
        <w:t xml:space="preserve"> of Chemistry, Faculty of Science, Menoufia University, </w:t>
      </w:r>
      <w:proofErr w:type="spellStart"/>
      <w:r w:rsidRPr="007C5ECE">
        <w:rPr>
          <w:rFonts w:asciiTheme="minorBidi" w:hAnsiTheme="minorBidi" w:cstheme="minorBidi"/>
          <w:sz w:val="24"/>
          <w:szCs w:val="24"/>
        </w:rPr>
        <w:t>Shebin</w:t>
      </w:r>
      <w:proofErr w:type="spellEnd"/>
      <w:r w:rsidRPr="007C5ECE">
        <w:rPr>
          <w:rFonts w:asciiTheme="minorBidi" w:hAnsiTheme="minorBidi" w:cstheme="minorBidi"/>
          <w:sz w:val="24"/>
          <w:szCs w:val="24"/>
        </w:rPr>
        <w:t xml:space="preserve"> El-</w:t>
      </w:r>
      <w:proofErr w:type="spellStart"/>
      <w:r w:rsidRPr="007C5ECE">
        <w:rPr>
          <w:rFonts w:asciiTheme="minorBidi" w:hAnsiTheme="minorBidi" w:cstheme="minorBidi"/>
          <w:sz w:val="24"/>
          <w:szCs w:val="24"/>
        </w:rPr>
        <w:t>Kom</w:t>
      </w:r>
      <w:proofErr w:type="spellEnd"/>
      <w:r w:rsidRPr="007C5ECE">
        <w:rPr>
          <w:rFonts w:asciiTheme="minorBidi" w:hAnsiTheme="minorBidi" w:cstheme="minorBidi"/>
          <w:sz w:val="24"/>
          <w:szCs w:val="24"/>
        </w:rPr>
        <w:t>, Egypt</w:t>
      </w:r>
    </w:p>
    <w:p w14:paraId="1C12E2A5" w14:textId="77777777" w:rsidR="00F82F97" w:rsidRPr="007C5ECE" w:rsidRDefault="00F82F97" w:rsidP="00FA77B4">
      <w:pPr>
        <w:autoSpaceDE w:val="0"/>
        <w:autoSpaceDN w:val="0"/>
        <w:adjustRightInd w:val="0"/>
        <w:jc w:val="both"/>
        <w:rPr>
          <w:rFonts w:asciiTheme="minorBidi" w:hAnsiTheme="minorBidi" w:cstheme="minorBidi"/>
          <w:sz w:val="24"/>
          <w:szCs w:val="24"/>
        </w:rPr>
      </w:pPr>
      <w:proofErr w:type="spellStart"/>
      <w:r w:rsidRPr="007C5ECE">
        <w:rPr>
          <w:rFonts w:asciiTheme="minorBidi" w:hAnsiTheme="minorBidi" w:cstheme="minorBidi"/>
          <w:sz w:val="24"/>
          <w:szCs w:val="24"/>
          <w:vertAlign w:val="superscript"/>
        </w:rPr>
        <w:t>c</w:t>
      </w:r>
      <w:r w:rsidRPr="007C5ECE">
        <w:rPr>
          <w:rFonts w:asciiTheme="minorBidi" w:hAnsiTheme="minorBidi" w:cstheme="minorBidi"/>
          <w:sz w:val="24"/>
          <w:szCs w:val="24"/>
        </w:rPr>
        <w:t>H.E.J</w:t>
      </w:r>
      <w:proofErr w:type="spellEnd"/>
      <w:r w:rsidRPr="007C5ECE">
        <w:rPr>
          <w:rFonts w:asciiTheme="minorBidi" w:hAnsiTheme="minorBidi" w:cstheme="minorBidi"/>
          <w:sz w:val="24"/>
          <w:szCs w:val="24"/>
        </w:rPr>
        <w:t xml:space="preserve">. Research Institute of Chemistry, International Center for Chemical and Biological Sciences, University of Karachi, Karachi-75270, Pakistan   </w:t>
      </w:r>
    </w:p>
    <w:p w14:paraId="1B8DA4CB" w14:textId="77777777" w:rsidR="00F82F97" w:rsidRPr="007C5ECE" w:rsidRDefault="00F82F97" w:rsidP="00FA77B4">
      <w:pPr>
        <w:jc w:val="both"/>
        <w:rPr>
          <w:rFonts w:asciiTheme="minorBidi" w:eastAsia="Times New Roman" w:hAnsiTheme="minorBidi" w:cstheme="minorBidi"/>
          <w:sz w:val="24"/>
          <w:szCs w:val="24"/>
        </w:rPr>
      </w:pPr>
      <w:proofErr w:type="spellStart"/>
      <w:r w:rsidRPr="007C5ECE">
        <w:rPr>
          <w:rFonts w:asciiTheme="minorBidi" w:eastAsia="Cambria" w:hAnsiTheme="minorBidi" w:cstheme="minorBidi"/>
          <w:sz w:val="24"/>
          <w:szCs w:val="24"/>
          <w:vertAlign w:val="superscript"/>
          <w:lang w:bidi="ar-EG"/>
        </w:rPr>
        <w:t>d</w:t>
      </w:r>
      <w:r w:rsidRPr="007C5ECE">
        <w:rPr>
          <w:rFonts w:asciiTheme="minorBidi" w:eastAsia="Times New Roman" w:hAnsiTheme="minorBidi" w:cstheme="minorBidi"/>
          <w:sz w:val="24"/>
          <w:szCs w:val="24"/>
        </w:rPr>
        <w:t>Department</w:t>
      </w:r>
      <w:proofErr w:type="spellEnd"/>
      <w:r w:rsidRPr="007C5ECE">
        <w:rPr>
          <w:rFonts w:asciiTheme="minorBidi" w:eastAsia="Times New Roman" w:hAnsiTheme="minorBidi" w:cstheme="minorBidi"/>
          <w:sz w:val="24"/>
          <w:szCs w:val="24"/>
        </w:rPr>
        <w:t xml:space="preserve"> of Molecular Biosciences, Stockholm University, the </w:t>
      </w:r>
      <w:proofErr w:type="spellStart"/>
      <w:r w:rsidRPr="007C5ECE">
        <w:rPr>
          <w:rFonts w:asciiTheme="minorBidi" w:eastAsia="Times New Roman" w:hAnsiTheme="minorBidi" w:cstheme="minorBidi"/>
          <w:sz w:val="24"/>
          <w:szCs w:val="24"/>
        </w:rPr>
        <w:t>Wenner-Gren</w:t>
      </w:r>
      <w:proofErr w:type="spellEnd"/>
      <w:r w:rsidRPr="007C5ECE">
        <w:rPr>
          <w:rFonts w:asciiTheme="minorBidi" w:eastAsia="Times New Roman" w:hAnsiTheme="minorBidi" w:cstheme="minorBidi"/>
          <w:sz w:val="24"/>
          <w:szCs w:val="24"/>
        </w:rPr>
        <w:t xml:space="preserve"> Institute, SE-106 91 Stockholm, Sweden</w:t>
      </w:r>
    </w:p>
    <w:p w14:paraId="23F7B2D9" w14:textId="77777777" w:rsidR="00F82F97" w:rsidRPr="007C5ECE" w:rsidRDefault="00F82F97" w:rsidP="00FA77B4">
      <w:pPr>
        <w:jc w:val="both"/>
        <w:rPr>
          <w:rFonts w:asciiTheme="minorBidi" w:eastAsia="Times New Roman" w:hAnsiTheme="minorBidi" w:cstheme="minorBidi"/>
          <w:sz w:val="24"/>
          <w:szCs w:val="24"/>
        </w:rPr>
      </w:pPr>
      <w:proofErr w:type="spellStart"/>
      <w:r w:rsidRPr="007C5ECE">
        <w:rPr>
          <w:rFonts w:asciiTheme="minorBidi" w:eastAsia="Cambria" w:hAnsiTheme="minorBidi" w:cstheme="minorBidi"/>
          <w:sz w:val="24"/>
          <w:szCs w:val="24"/>
          <w:vertAlign w:val="superscript"/>
          <w:lang w:bidi="ar-EG"/>
        </w:rPr>
        <w:t>e</w:t>
      </w:r>
      <w:r w:rsidRPr="007C5ECE">
        <w:rPr>
          <w:rFonts w:asciiTheme="minorBidi" w:eastAsia="Times New Roman" w:hAnsiTheme="minorBidi" w:cstheme="minorBidi"/>
          <w:sz w:val="24"/>
          <w:szCs w:val="24"/>
        </w:rPr>
        <w:t>Department</w:t>
      </w:r>
      <w:proofErr w:type="spellEnd"/>
      <w:r w:rsidRPr="007C5ECE">
        <w:rPr>
          <w:rFonts w:asciiTheme="minorBidi" w:eastAsia="Times New Roman" w:hAnsiTheme="minorBidi" w:cstheme="minorBidi"/>
          <w:sz w:val="24"/>
          <w:szCs w:val="24"/>
        </w:rPr>
        <w:t xml:space="preserve"> of Experimental Hematology, Karolinska Institute, SE-141 86 Stockholm, Sweden.</w:t>
      </w:r>
      <w:r w:rsidRPr="007C5ECE">
        <w:rPr>
          <w:rFonts w:asciiTheme="minorBidi" w:hAnsiTheme="minorBidi" w:cstheme="minorBidi"/>
          <w:sz w:val="24"/>
          <w:szCs w:val="24"/>
        </w:rPr>
        <w:t xml:space="preserve">                                                                </w:t>
      </w:r>
    </w:p>
    <w:p w14:paraId="70950406" w14:textId="77777777" w:rsidR="00F82F97" w:rsidRPr="007C5ECE" w:rsidRDefault="00F82F97" w:rsidP="00FA77B4">
      <w:pPr>
        <w:autoSpaceDE w:val="0"/>
        <w:autoSpaceDN w:val="0"/>
        <w:adjustRightInd w:val="0"/>
        <w:jc w:val="both"/>
        <w:rPr>
          <w:rFonts w:asciiTheme="minorBidi" w:hAnsiTheme="minorBidi" w:cstheme="minorBidi"/>
          <w:sz w:val="24"/>
          <w:szCs w:val="24"/>
        </w:rPr>
      </w:pPr>
      <w:proofErr w:type="spellStart"/>
      <w:r w:rsidRPr="007C5ECE">
        <w:rPr>
          <w:rFonts w:asciiTheme="minorBidi" w:eastAsia="Cambria" w:hAnsiTheme="minorBidi" w:cstheme="minorBidi"/>
          <w:sz w:val="24"/>
          <w:szCs w:val="24"/>
          <w:vertAlign w:val="superscript"/>
          <w:lang w:bidi="ar-EG"/>
        </w:rPr>
        <w:t>f</w:t>
      </w:r>
      <w:r w:rsidRPr="007C5ECE">
        <w:rPr>
          <w:rFonts w:asciiTheme="minorBidi" w:eastAsia="Cambria" w:hAnsiTheme="minorBidi" w:cstheme="minorBidi"/>
          <w:sz w:val="24"/>
          <w:szCs w:val="24"/>
          <w:lang w:bidi="ar-EG"/>
        </w:rPr>
        <w:t>Institute</w:t>
      </w:r>
      <w:proofErr w:type="spellEnd"/>
      <w:r w:rsidRPr="007C5ECE">
        <w:rPr>
          <w:rFonts w:asciiTheme="minorBidi" w:eastAsia="Cambria" w:hAnsiTheme="minorBidi" w:cstheme="minorBidi"/>
          <w:sz w:val="24"/>
          <w:szCs w:val="24"/>
          <w:lang w:bidi="ar-EG"/>
        </w:rPr>
        <w:t xml:space="preserve"> of Chinese Medical Sciences, State Key Laboratory of Quality Control in Chinese Medicine, University of Macau, Macau, China</w:t>
      </w:r>
      <w:r w:rsidRPr="007C5ECE">
        <w:rPr>
          <w:rFonts w:asciiTheme="minorBidi" w:hAnsiTheme="minorBidi" w:cstheme="minorBidi"/>
          <w:sz w:val="24"/>
          <w:szCs w:val="24"/>
        </w:rPr>
        <w:t xml:space="preserve"> </w:t>
      </w:r>
    </w:p>
    <w:p w14:paraId="1FC8482D" w14:textId="77777777" w:rsidR="00F82F97" w:rsidRPr="007C5ECE" w:rsidRDefault="00F82F97" w:rsidP="00FA77B4">
      <w:pPr>
        <w:autoSpaceDE w:val="0"/>
        <w:autoSpaceDN w:val="0"/>
        <w:adjustRightInd w:val="0"/>
        <w:jc w:val="both"/>
        <w:rPr>
          <w:rFonts w:asciiTheme="minorBidi" w:hAnsiTheme="minorBidi" w:cstheme="minorBidi"/>
          <w:sz w:val="24"/>
          <w:szCs w:val="24"/>
        </w:rPr>
      </w:pPr>
      <w:proofErr w:type="spellStart"/>
      <w:r w:rsidRPr="007C5ECE">
        <w:rPr>
          <w:rFonts w:asciiTheme="minorBidi" w:hAnsiTheme="minorBidi" w:cstheme="minorBidi"/>
          <w:sz w:val="24"/>
          <w:szCs w:val="24"/>
          <w:vertAlign w:val="superscript"/>
        </w:rPr>
        <w:t>g</w:t>
      </w:r>
      <w:r w:rsidRPr="007C5ECE">
        <w:rPr>
          <w:rFonts w:asciiTheme="minorBidi" w:hAnsiTheme="minorBidi" w:cstheme="minorBidi"/>
          <w:sz w:val="24"/>
          <w:szCs w:val="24"/>
        </w:rPr>
        <w:t>Department</w:t>
      </w:r>
      <w:proofErr w:type="spellEnd"/>
      <w:r w:rsidRPr="007C5ECE">
        <w:rPr>
          <w:rFonts w:asciiTheme="minorBidi" w:hAnsiTheme="minorBidi" w:cstheme="minorBidi"/>
          <w:sz w:val="24"/>
          <w:szCs w:val="24"/>
        </w:rPr>
        <w:t xml:space="preserve"> of Bee Research, Plant Protection Research Institute, Agricultural Research Centre, 12618 Giza, Egypt</w:t>
      </w:r>
    </w:p>
    <w:p w14:paraId="6185B2B3" w14:textId="77777777" w:rsidR="00F82F97" w:rsidRPr="007C5ECE" w:rsidRDefault="00F82F97" w:rsidP="00FA77B4">
      <w:pPr>
        <w:jc w:val="both"/>
        <w:rPr>
          <w:rFonts w:asciiTheme="minorBidi" w:eastAsia="Cambria" w:hAnsiTheme="minorBidi" w:cstheme="minorBidi"/>
          <w:sz w:val="24"/>
          <w:szCs w:val="24"/>
          <w:lang w:bidi="ar-EG"/>
        </w:rPr>
      </w:pPr>
      <w:proofErr w:type="spellStart"/>
      <w:r w:rsidRPr="007C5ECE">
        <w:rPr>
          <w:rFonts w:asciiTheme="minorBidi" w:eastAsia="Cambria" w:hAnsiTheme="minorBidi" w:cstheme="minorBidi"/>
          <w:sz w:val="24"/>
          <w:szCs w:val="24"/>
          <w:vertAlign w:val="superscript"/>
          <w:lang w:bidi="ar-EG"/>
        </w:rPr>
        <w:t>h</w:t>
      </w:r>
      <w:r w:rsidRPr="007C5ECE">
        <w:rPr>
          <w:rFonts w:asciiTheme="minorBidi" w:eastAsia="Cambria" w:hAnsiTheme="minorBidi" w:cstheme="minorBidi"/>
          <w:sz w:val="24"/>
          <w:szCs w:val="24"/>
          <w:lang w:bidi="ar-EG"/>
        </w:rPr>
        <w:t>College</w:t>
      </w:r>
      <w:proofErr w:type="spellEnd"/>
      <w:r w:rsidRPr="007C5ECE">
        <w:rPr>
          <w:rFonts w:asciiTheme="minorBidi" w:eastAsia="Cambria" w:hAnsiTheme="minorBidi" w:cstheme="minorBidi"/>
          <w:sz w:val="24"/>
          <w:szCs w:val="24"/>
          <w:lang w:bidi="ar-EG"/>
        </w:rPr>
        <w:t xml:space="preserve"> of Food Science, Fujian Agriculture and Forestry University, Fuzhou 350002, China</w:t>
      </w:r>
    </w:p>
    <w:p w14:paraId="61255A63" w14:textId="77777777" w:rsidR="00F82F97" w:rsidRPr="007C5ECE" w:rsidRDefault="00F82F97" w:rsidP="00FA77B4">
      <w:pPr>
        <w:jc w:val="both"/>
        <w:rPr>
          <w:rFonts w:asciiTheme="minorBidi" w:hAnsiTheme="minorBidi" w:cstheme="minorBidi"/>
          <w:sz w:val="24"/>
          <w:szCs w:val="24"/>
        </w:rPr>
      </w:pPr>
      <w:proofErr w:type="spellStart"/>
      <w:r w:rsidRPr="007C5ECE">
        <w:rPr>
          <w:rFonts w:asciiTheme="minorBidi" w:hAnsiTheme="minorBidi" w:cstheme="minorBidi"/>
          <w:sz w:val="24"/>
          <w:szCs w:val="24"/>
          <w:vertAlign w:val="superscript"/>
        </w:rPr>
        <w:t>i</w:t>
      </w:r>
      <w:r w:rsidRPr="007C5ECE">
        <w:rPr>
          <w:rFonts w:asciiTheme="minorBidi" w:hAnsiTheme="minorBidi" w:cstheme="minorBidi"/>
          <w:sz w:val="24"/>
          <w:szCs w:val="24"/>
        </w:rPr>
        <w:t>Pharmacognosy</w:t>
      </w:r>
      <w:proofErr w:type="spellEnd"/>
      <w:r w:rsidRPr="007C5ECE">
        <w:rPr>
          <w:rFonts w:asciiTheme="minorBidi" w:hAnsiTheme="minorBidi" w:cstheme="minorBidi"/>
          <w:sz w:val="24"/>
          <w:szCs w:val="24"/>
        </w:rPr>
        <w:t xml:space="preserve"> Department, College of Pharmacy, Cairo University, Cairo, Egypt,</w:t>
      </w:r>
    </w:p>
    <w:p w14:paraId="04F7238B" w14:textId="204A8AFE" w:rsidR="00AE3E37" w:rsidRPr="007C5ECE" w:rsidRDefault="00F82F97" w:rsidP="00FA77B4">
      <w:pPr>
        <w:autoSpaceDE w:val="0"/>
        <w:autoSpaceDN w:val="0"/>
        <w:adjustRightInd w:val="0"/>
        <w:jc w:val="both"/>
        <w:rPr>
          <w:rFonts w:asciiTheme="minorBidi" w:hAnsiTheme="minorBidi" w:cstheme="minorBidi"/>
          <w:sz w:val="24"/>
          <w:szCs w:val="24"/>
        </w:rPr>
        <w:sectPr w:rsidR="00AE3E37" w:rsidRPr="007C5ECE">
          <w:headerReference w:type="default" r:id="rId8"/>
          <w:footerReference w:type="default" r:id="rId9"/>
          <w:type w:val="continuous"/>
          <w:pgSz w:w="11910" w:h="16840"/>
          <w:pgMar w:top="1740" w:right="600" w:bottom="840" w:left="620" w:header="541" w:footer="642" w:gutter="0"/>
          <w:cols w:space="720"/>
        </w:sectPr>
      </w:pPr>
      <w:r w:rsidRPr="007C5ECE">
        <w:rPr>
          <w:rFonts w:asciiTheme="minorBidi" w:hAnsiTheme="minorBidi" w:cstheme="minorBidi"/>
          <w:sz w:val="24"/>
          <w:szCs w:val="24"/>
        </w:rPr>
        <w:t xml:space="preserve"> </w:t>
      </w:r>
      <w:proofErr w:type="spellStart"/>
      <w:r w:rsidRPr="007C5ECE">
        <w:rPr>
          <w:rFonts w:asciiTheme="minorBidi" w:hAnsiTheme="minorBidi" w:cstheme="minorBidi"/>
          <w:sz w:val="24"/>
          <w:szCs w:val="24"/>
          <w:vertAlign w:val="superscript"/>
        </w:rPr>
        <w:t>j</w:t>
      </w:r>
      <w:r w:rsidRPr="007C5ECE">
        <w:rPr>
          <w:rFonts w:asciiTheme="minorBidi" w:hAnsiTheme="minorBidi" w:cstheme="minorBidi"/>
          <w:sz w:val="24"/>
          <w:szCs w:val="24"/>
        </w:rPr>
        <w:t>Department</w:t>
      </w:r>
      <w:proofErr w:type="spellEnd"/>
      <w:r w:rsidRPr="007C5ECE">
        <w:rPr>
          <w:rFonts w:asciiTheme="minorBidi" w:hAnsiTheme="minorBidi" w:cstheme="minorBidi"/>
          <w:sz w:val="24"/>
          <w:szCs w:val="24"/>
        </w:rPr>
        <w:t xml:space="preserve"> of Chemistry, School of Sciences &amp; Engineering, The American University in Cairo, New Cairo, Egypt</w:t>
      </w:r>
      <w:r w:rsidR="007C5ECE">
        <w:rPr>
          <w:rFonts w:asciiTheme="minorBidi" w:hAnsiTheme="minorBidi" w:cstheme="minorBidi"/>
          <w:sz w:val="24"/>
          <w:szCs w:val="24"/>
        </w:rPr>
        <w:t xml:space="preserve">, </w:t>
      </w:r>
      <w:proofErr w:type="spellStart"/>
      <w:r w:rsidRPr="007C5ECE">
        <w:rPr>
          <w:rFonts w:asciiTheme="minorBidi" w:hAnsiTheme="minorBidi" w:cstheme="minorBidi"/>
          <w:sz w:val="24"/>
          <w:szCs w:val="24"/>
          <w:vertAlign w:val="superscript"/>
        </w:rPr>
        <w:t>k</w:t>
      </w:r>
      <w:r w:rsidRPr="007C5ECE">
        <w:rPr>
          <w:rFonts w:asciiTheme="minorBidi" w:hAnsiTheme="minorBidi" w:cstheme="minorBidi"/>
          <w:sz w:val="24"/>
          <w:szCs w:val="24"/>
        </w:rPr>
        <w:t>Department</w:t>
      </w:r>
      <w:proofErr w:type="spellEnd"/>
      <w:r w:rsidRPr="007C5ECE">
        <w:rPr>
          <w:rFonts w:asciiTheme="minorBidi" w:hAnsiTheme="minorBidi" w:cstheme="minorBidi"/>
          <w:sz w:val="24"/>
          <w:szCs w:val="24"/>
        </w:rPr>
        <w:t xml:space="preserve"> of Pharmacology, Faculty of Pharmacy, Ziauddin University, Karachi, Pakistan</w:t>
      </w:r>
    </w:p>
    <w:p w14:paraId="181B49C4"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6B5B763A" w14:textId="77777777" w:rsidR="00F82F97" w:rsidRPr="007C5ECE" w:rsidRDefault="00A9710C" w:rsidP="00F82F97">
      <w:pPr>
        <w:autoSpaceDE w:val="0"/>
        <w:autoSpaceDN w:val="0"/>
        <w:adjustRightInd w:val="0"/>
        <w:ind w:firstLine="720"/>
        <w:jc w:val="both"/>
      </w:pPr>
      <w:r>
        <w:t xml:space="preserve">Statement of the Problem: </w:t>
      </w:r>
      <w:r w:rsidR="00F82F97" w:rsidRPr="007C5ECE">
        <w:t xml:space="preserve">According to the World Health Organization, two billion people will be aged 60 years or older by 2050. Aging is a major risk factor for a number of neurodegenerative disorders. These age-related disorders currently represent one of the most important and challenging health problems have impact on the economic and social. Therefore, much attention has been directed towards the design and development of neuroprotective agents derived from natural sources. </w:t>
      </w:r>
    </w:p>
    <w:p w14:paraId="2ED36D7B" w14:textId="4BA1A8B8" w:rsidR="00F82F97" w:rsidRPr="007C5ECE" w:rsidRDefault="00F82F97" w:rsidP="00E21524">
      <w:pPr>
        <w:autoSpaceDE w:val="0"/>
        <w:autoSpaceDN w:val="0"/>
        <w:adjustRightInd w:val="0"/>
        <w:ind w:firstLine="720"/>
        <w:jc w:val="both"/>
        <w:rPr>
          <w:rFonts w:eastAsiaTheme="minorHAnsi" w:cstheme="majorBidi"/>
          <w:b/>
          <w:bCs/>
        </w:rPr>
      </w:pPr>
      <w:r w:rsidRPr="007C5ECE">
        <w:t>The honeybees (Apis mellifera L.) have several products, including honey, propolis, royal jelly, bee venom, and bee pollen. Bee products meet the criteria of being natural products that have long-recognized medicinal properties. Historically, bee products</w:t>
      </w:r>
      <w:r w:rsidRPr="00CC4FC4">
        <w:rPr>
          <w:rFonts w:asciiTheme="majorBidi" w:eastAsia="MyriadPro-Regular" w:hAnsiTheme="majorBidi" w:cstheme="majorBidi"/>
          <w:sz w:val="24"/>
          <w:szCs w:val="24"/>
        </w:rPr>
        <w:t xml:space="preserve"> </w:t>
      </w:r>
      <w:r w:rsidRPr="007C5ECE">
        <w:t>nutritional and medicinal values have been considered for thousands of years by Ancient Egyptian, Persians, Romans and Chinese in supplementary nutrition and alternative diets. Bee products are often sold as nutritional supplements and/or health products, and with potential anticancer, antimicrobial activities, antioxidant, anti</w:t>
      </w:r>
      <w:r w:rsidRPr="007C5ECE">
        <w:rPr>
          <w:rFonts w:cstheme="majorBidi"/>
          <w:color w:val="222222"/>
          <w:shd w:val="clear" w:color="auto" w:fill="FFFFFF"/>
        </w:rPr>
        <w:t xml:space="preserve">-nociceptive, </w:t>
      </w:r>
      <w:r w:rsidRPr="007C5ECE">
        <w:rPr>
          <w:rFonts w:cstheme="majorBidi"/>
          <w:lang w:val="ms-MY"/>
        </w:rPr>
        <w:t xml:space="preserve">and anti-inflammatory. </w:t>
      </w:r>
      <w:r w:rsidRPr="007C5ECE">
        <w:rPr>
          <w:rFonts w:eastAsiaTheme="minorHAnsi" w:cstheme="majorBidi"/>
        </w:rPr>
        <w:t>Bee products polyphenols have neuroprotective actions via quench biological reactive oxygen species that cause neurotoxicity and aging as well as the pathological deposition of misfolded proteins, such as amyloid beta</w:t>
      </w:r>
      <w:r w:rsidR="00E21524">
        <w:rPr>
          <w:rFonts w:cstheme="majorBidi"/>
          <w:color w:val="000000" w:themeColor="text1"/>
        </w:rPr>
        <w:t>.</w:t>
      </w:r>
    </w:p>
    <w:p w14:paraId="001BDC6F" w14:textId="3C79A3CF" w:rsidR="00F82F97" w:rsidRPr="007C5ECE" w:rsidRDefault="00F82F97" w:rsidP="007C5ECE">
      <w:pPr>
        <w:autoSpaceDE w:val="0"/>
        <w:autoSpaceDN w:val="0"/>
        <w:adjustRightInd w:val="0"/>
        <w:ind w:firstLine="720"/>
        <w:jc w:val="both"/>
        <w:rPr>
          <w:rFonts w:cstheme="majorBidi"/>
          <w:b/>
        </w:rPr>
      </w:pPr>
      <w:r w:rsidRPr="007C5ECE">
        <w:rPr>
          <w:rFonts w:eastAsiaTheme="minorHAnsi" w:cstheme="majorBidi"/>
        </w:rPr>
        <w:t xml:space="preserve">In the current talk will concerned on </w:t>
      </w:r>
      <w:r w:rsidRPr="007C5ECE">
        <w:rPr>
          <w:rFonts w:cstheme="majorBidi"/>
        </w:rPr>
        <w:t xml:space="preserve">the neuroprotective of bee products and its ingredients against </w:t>
      </w:r>
      <w:proofErr w:type="spellStart"/>
      <w:r w:rsidRPr="007C5ECE">
        <w:rPr>
          <w:rFonts w:cstheme="majorBidi"/>
        </w:rPr>
        <w:t>neurogernatives</w:t>
      </w:r>
      <w:proofErr w:type="spellEnd"/>
      <w:r w:rsidRPr="007C5ECE">
        <w:rPr>
          <w:rFonts w:cstheme="majorBidi"/>
        </w:rPr>
        <w:t xml:space="preserve"> diseases </w:t>
      </w:r>
      <w:r w:rsidRPr="007C5ECE">
        <w:rPr>
          <w:rFonts w:cstheme="majorBidi"/>
          <w:lang w:bidi="ar-EG"/>
        </w:rPr>
        <w:t xml:space="preserve">including </w:t>
      </w:r>
      <w:r w:rsidRPr="007C5ECE">
        <w:rPr>
          <w:rFonts w:eastAsiaTheme="minorEastAsia" w:cstheme="majorBidi"/>
        </w:rPr>
        <w:t>Alzheimer’s disease</w:t>
      </w:r>
      <w:r w:rsidRPr="007C5ECE">
        <w:rPr>
          <w:rFonts w:cstheme="majorBidi"/>
          <w:lang w:bidi="ar-EG"/>
        </w:rPr>
        <w:t xml:space="preserve">, </w:t>
      </w:r>
      <w:r w:rsidRPr="007C5ECE">
        <w:rPr>
          <w:rFonts w:cstheme="majorBidi"/>
        </w:rPr>
        <w:t xml:space="preserve">Parkinson’s disease, multiple sclerosis, </w:t>
      </w:r>
      <w:r w:rsidRPr="007C5ECE">
        <w:rPr>
          <w:rFonts w:cstheme="majorBidi"/>
          <w:bCs/>
        </w:rPr>
        <w:t xml:space="preserve">amyotrophic lateral sclerosis and depression as shown in </w:t>
      </w:r>
      <w:r w:rsidRPr="007C5ECE">
        <w:rPr>
          <w:rFonts w:cstheme="majorBidi"/>
          <w:b/>
        </w:rPr>
        <w:t>Fig</w:t>
      </w:r>
      <w:r w:rsidR="007C5ECE">
        <w:rPr>
          <w:rFonts w:cstheme="majorBidi"/>
          <w:b/>
        </w:rPr>
        <w:t xml:space="preserve">ure </w:t>
      </w:r>
      <w:r w:rsidRPr="007C5ECE">
        <w:rPr>
          <w:rFonts w:cstheme="majorBidi"/>
          <w:b/>
        </w:rPr>
        <w:t xml:space="preserve"> </w:t>
      </w:r>
      <w:r w:rsidR="007C5ECE">
        <w:rPr>
          <w:rFonts w:cstheme="majorBidi"/>
          <w:b/>
        </w:rPr>
        <w:t>1</w:t>
      </w:r>
      <w:r w:rsidRPr="007C5ECE">
        <w:rPr>
          <w:rFonts w:cstheme="majorBidi"/>
          <w:bCs/>
        </w:rPr>
        <w:t>.</w:t>
      </w:r>
    </w:p>
    <w:p w14:paraId="5D1A4D27" w14:textId="48597541" w:rsidR="007C5ECE" w:rsidRDefault="007C5ECE" w:rsidP="007C5ECE">
      <w:pPr>
        <w:tabs>
          <w:tab w:val="left" w:pos="1095"/>
        </w:tabs>
        <w:jc w:val="center"/>
        <w:rPr>
          <w:rFonts w:asciiTheme="majorBidi" w:eastAsia="Calibri" w:hAnsiTheme="majorBidi" w:cstheme="majorBidi"/>
          <w:sz w:val="24"/>
          <w:szCs w:val="24"/>
        </w:rPr>
      </w:pPr>
      <w:r>
        <w:rPr>
          <w:rFonts w:asciiTheme="majorBidi" w:hAnsiTheme="majorBidi" w:cstheme="majorBidi"/>
          <w:b/>
          <w:bCs/>
          <w:noProof/>
          <w:sz w:val="24"/>
          <w:szCs w:val="24"/>
        </w:rPr>
        <w:drawing>
          <wp:inline distT="0" distB="0" distL="0" distR="0" wp14:anchorId="64243BE3" wp14:editId="749D91FD">
            <wp:extent cx="3131820" cy="785500"/>
            <wp:effectExtent l="19050" t="19050" r="11430" b="146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59020" cy="792322"/>
                    </a:xfrm>
                    <a:prstGeom prst="rect">
                      <a:avLst/>
                    </a:prstGeom>
                    <a:noFill/>
                    <a:ln w="12700" cmpd="sng">
                      <a:solidFill>
                        <a:srgbClr val="000000"/>
                      </a:solidFill>
                      <a:miter lim="800000"/>
                      <a:headEnd/>
                      <a:tailEnd/>
                    </a:ln>
                    <a:effectLst/>
                  </pic:spPr>
                </pic:pic>
              </a:graphicData>
            </a:graphic>
          </wp:inline>
        </w:drawing>
      </w:r>
      <w:r>
        <w:rPr>
          <w:rFonts w:asciiTheme="majorBidi" w:hAnsiTheme="majorBidi" w:cstheme="majorBidi"/>
          <w:b/>
          <w:bCs/>
          <w:sz w:val="24"/>
          <w:szCs w:val="24"/>
        </w:rPr>
        <w:t xml:space="preserve">Figure 2: </w:t>
      </w:r>
      <w:r>
        <w:rPr>
          <w:rFonts w:asciiTheme="majorBidi" w:eastAsia="Times New Roman" w:hAnsiTheme="majorBidi" w:cstheme="majorBidi"/>
          <w:b/>
          <w:bCs/>
          <w:color w:val="000000"/>
          <w:sz w:val="24"/>
          <w:szCs w:val="24"/>
        </w:rPr>
        <w:t>Bee products and neurology diseases</w:t>
      </w:r>
    </w:p>
    <w:p w14:paraId="06101BAA" w14:textId="0EC516D8" w:rsidR="00AE3E37" w:rsidRPr="007C5ECE" w:rsidRDefault="00AE3E37" w:rsidP="007C5ECE">
      <w:pPr>
        <w:pStyle w:val="Heading3"/>
        <w:spacing w:before="74"/>
      </w:pPr>
    </w:p>
    <w:p w14:paraId="33020C1F"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3D27AAE" w14:textId="0A0FD4BB" w:rsidR="00E21524" w:rsidRPr="00E21524" w:rsidRDefault="00E21524" w:rsidP="00E21524">
      <w:pPr>
        <w:pStyle w:val="ListParagraph"/>
        <w:numPr>
          <w:ilvl w:val="0"/>
          <w:numId w:val="3"/>
        </w:numPr>
        <w:autoSpaceDE w:val="0"/>
        <w:autoSpaceDN w:val="0"/>
        <w:adjustRightInd w:val="0"/>
        <w:jc w:val="left"/>
        <w:rPr>
          <w:sz w:val="18"/>
        </w:rPr>
      </w:pPr>
      <w:r w:rsidRPr="00CC4FC4">
        <w:rPr>
          <w:rFonts w:asciiTheme="majorBidi" w:hAnsiTheme="majorBidi" w:cstheme="majorBidi"/>
          <w:sz w:val="24"/>
          <w:szCs w:val="24"/>
        </w:rPr>
        <w:fldChar w:fldCharType="begin" w:fldLock="1"/>
      </w:r>
      <w:r w:rsidRPr="00E21524">
        <w:rPr>
          <w:rFonts w:asciiTheme="majorBidi" w:hAnsiTheme="majorBidi" w:cstheme="majorBidi"/>
          <w:sz w:val="24"/>
          <w:szCs w:val="24"/>
        </w:rPr>
        <w:instrText xml:space="preserve">ADDIN Mendeley Bibliography CSL_BIBLIOGRAPHY </w:instrText>
      </w:r>
      <w:r w:rsidRPr="00CC4FC4">
        <w:rPr>
          <w:rFonts w:asciiTheme="majorBidi" w:hAnsiTheme="majorBidi" w:cstheme="majorBidi"/>
          <w:sz w:val="24"/>
          <w:szCs w:val="24"/>
        </w:rPr>
        <w:fldChar w:fldCharType="separate"/>
      </w:r>
      <w:r w:rsidRPr="00E21524">
        <w:rPr>
          <w:sz w:val="18"/>
        </w:rPr>
        <w:t>Biotech N, Corporation M, Road J, Gung C, Hospital M, Science M, Health, N (2007). Propolin G, a prenylflavanone, isolated from Taiwanese propolis, induces caspase-dependent apoptosis in brain cancer cells. Journal of Agricultural and Food Chemistry, 55: 7366–7376.</w:t>
      </w:r>
    </w:p>
    <w:p w14:paraId="0CB924E7" w14:textId="4B4A8CCD" w:rsidR="00E21524" w:rsidRPr="00E21524" w:rsidRDefault="00E21524" w:rsidP="00E21524">
      <w:pPr>
        <w:pStyle w:val="ListParagraph"/>
        <w:numPr>
          <w:ilvl w:val="0"/>
          <w:numId w:val="3"/>
        </w:numPr>
        <w:autoSpaceDE w:val="0"/>
        <w:autoSpaceDN w:val="0"/>
        <w:adjustRightInd w:val="0"/>
        <w:jc w:val="left"/>
        <w:rPr>
          <w:sz w:val="18"/>
        </w:rPr>
      </w:pPr>
      <w:r w:rsidRPr="00E21524">
        <w:rPr>
          <w:sz w:val="18"/>
        </w:rPr>
        <w:t xml:space="preserve">Giampieri F, Quiles JL, Orantes-Bermejo FJ, Gasparrini M, Forbes-Hernandez TY, Sánchez-González C, Battino M (2018). Are by-products from beeswax recycling process a new promising source of bioactive compounds with biomedical properties? Food and Chemical Toxicology 112:126–133. </w:t>
      </w:r>
    </w:p>
    <w:p w14:paraId="35C97488" w14:textId="4F062A8B" w:rsidR="00E21524" w:rsidRPr="00E21524" w:rsidRDefault="00E21524" w:rsidP="00E21524">
      <w:pPr>
        <w:pStyle w:val="ListParagraph"/>
        <w:numPr>
          <w:ilvl w:val="0"/>
          <w:numId w:val="3"/>
        </w:numPr>
        <w:autoSpaceDE w:val="0"/>
        <w:autoSpaceDN w:val="0"/>
        <w:adjustRightInd w:val="0"/>
        <w:jc w:val="left"/>
        <w:rPr>
          <w:sz w:val="18"/>
        </w:rPr>
      </w:pPr>
      <w:r w:rsidRPr="0083734A">
        <w:rPr>
          <w:sz w:val="18"/>
          <w:lang w:val="sv-SE"/>
        </w:rPr>
        <w:t xml:space="preserve">Kumar A, Sehgal N, Kumar P, Padi SSV, Naidu P. (2008). </w:t>
      </w:r>
      <w:r w:rsidRPr="00E21524">
        <w:rPr>
          <w:sz w:val="18"/>
        </w:rPr>
        <w:t xml:space="preserve">Protective effect of quercetin against ICV colchicine‐induced cognitive dysfunctions and oxidative damage in rats. Phytotherapy Research 22: 1563–1569. </w:t>
      </w:r>
    </w:p>
    <w:p w14:paraId="0C884B3E" w14:textId="567FEEFD" w:rsidR="00E21524" w:rsidRPr="00E21524" w:rsidRDefault="00E21524" w:rsidP="00E21524">
      <w:pPr>
        <w:pStyle w:val="ListParagraph"/>
        <w:numPr>
          <w:ilvl w:val="0"/>
          <w:numId w:val="3"/>
        </w:numPr>
        <w:autoSpaceDE w:val="0"/>
        <w:autoSpaceDN w:val="0"/>
        <w:adjustRightInd w:val="0"/>
        <w:jc w:val="left"/>
        <w:rPr>
          <w:sz w:val="18"/>
        </w:rPr>
      </w:pPr>
      <w:r w:rsidRPr="00E21524">
        <w:rPr>
          <w:sz w:val="18"/>
        </w:rPr>
        <w:t xml:space="preserve">Squillaro T, Schettino C, Sampaolo S, Galderisi U, Di Iorio G, Giordano A, Melone MAB (2018). Adult-onset brain tumors and neurodegeneration: Are polyphenols protective? Journal of Cellular Physiology, 233:3955–3967. </w:t>
      </w:r>
    </w:p>
    <w:p w14:paraId="63BB4816" w14:textId="75118F54" w:rsidR="00E21524" w:rsidRPr="00E21524" w:rsidRDefault="00E21524" w:rsidP="00E21524">
      <w:pPr>
        <w:pStyle w:val="ListParagraph"/>
        <w:numPr>
          <w:ilvl w:val="0"/>
          <w:numId w:val="3"/>
        </w:numPr>
        <w:autoSpaceDE w:val="0"/>
        <w:autoSpaceDN w:val="0"/>
        <w:adjustRightInd w:val="0"/>
        <w:jc w:val="left"/>
        <w:rPr>
          <w:sz w:val="18"/>
        </w:rPr>
      </w:pPr>
      <w:r w:rsidRPr="00E21524">
        <w:rPr>
          <w:sz w:val="18"/>
        </w:rPr>
        <w:t xml:space="preserve">Tomás A, Falcão SI, Russo-almeida P, Vilas-boas M (2017). Potentialities of beebread as a food supplement and source of nutraceuticals: Botanical origin , nutritional composition and antioxidant activity. Journal of Apicultural Research 8839. </w:t>
      </w:r>
    </w:p>
    <w:p w14:paraId="22C96789" w14:textId="26A6ADA1" w:rsidR="00E21524" w:rsidRPr="00E21524" w:rsidRDefault="00E21524" w:rsidP="00E21524">
      <w:pPr>
        <w:pStyle w:val="ListParagraph"/>
        <w:numPr>
          <w:ilvl w:val="0"/>
          <w:numId w:val="3"/>
        </w:numPr>
        <w:autoSpaceDE w:val="0"/>
        <w:autoSpaceDN w:val="0"/>
        <w:adjustRightInd w:val="0"/>
        <w:jc w:val="left"/>
        <w:rPr>
          <w:sz w:val="18"/>
        </w:rPr>
      </w:pPr>
      <w:r w:rsidRPr="00E21524">
        <w:rPr>
          <w:sz w:val="18"/>
        </w:rPr>
        <w:t xml:space="preserve">Unno K, Takabayashi F, Yoshida H, Choba D, Fukutomi R, Kikunaga N, Hoshino M (2007). Daily consumption of green tea catechin delays memory regression in aged mice. Biogerontology 8: 89–95. </w:t>
      </w:r>
    </w:p>
    <w:p w14:paraId="194D9635" w14:textId="617717BB" w:rsidR="00AE3E37" w:rsidRDefault="00E21524" w:rsidP="00FA77B4">
      <w:pPr>
        <w:sectPr w:rsidR="00AE3E37">
          <w:type w:val="continuous"/>
          <w:pgSz w:w="11910" w:h="16840"/>
          <w:pgMar w:top="1740" w:right="600" w:bottom="840" w:left="620" w:header="720" w:footer="720" w:gutter="0"/>
          <w:cols w:num="2" w:space="720" w:equalWidth="0">
            <w:col w:w="5214" w:space="138"/>
            <w:col w:w="5338"/>
          </w:cols>
        </w:sectPr>
      </w:pPr>
      <w:r w:rsidRPr="00CC4FC4">
        <w:lastRenderedPageBreak/>
        <w:fldChar w:fldCharType="end"/>
      </w:r>
      <w:r w:rsidR="008756E6">
        <w:t xml:space="preserve">   </w:t>
      </w:r>
    </w:p>
    <w:p w14:paraId="508832EA" w14:textId="77777777" w:rsidR="00AE3E37" w:rsidRDefault="00AE3E37">
      <w:pPr>
        <w:pStyle w:val="BodyText"/>
        <w:rPr>
          <w:rFonts w:ascii="Calibri"/>
          <w:sz w:val="20"/>
        </w:rPr>
      </w:pPr>
    </w:p>
    <w:p w14:paraId="141615AD"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597E78F" wp14:editId="3F9B4B3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9E02E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2E4A3915" w14:textId="5E34DDCB" w:rsidR="00AE3E37" w:rsidRDefault="008756E6" w:rsidP="00BE3340">
      <w:pPr>
        <w:spacing w:before="92"/>
        <w:ind w:right="4234"/>
        <w:rPr>
          <w:rFonts w:ascii="Arial"/>
        </w:rPr>
      </w:pPr>
      <w:r>
        <w:rPr>
          <w:noProof/>
        </w:rPr>
        <w:t xml:space="preserve">              </w:t>
      </w:r>
      <w:r w:rsidR="00BE3340" w:rsidRPr="00BE3340">
        <w:rPr>
          <w:noProof/>
        </w:rPr>
        <w:drawing>
          <wp:inline distT="0" distB="0" distL="0" distR="0" wp14:anchorId="1ACD2138" wp14:editId="15323C76">
            <wp:extent cx="696035" cy="696035"/>
            <wp:effectExtent l="0" t="0" r="8890" b="8890"/>
            <wp:docPr id="4" name="Picture 4" descr="Hesham El-se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sham El-seed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8942" cy="698942"/>
                    </a:xfrm>
                    <a:prstGeom prst="rect">
                      <a:avLst/>
                    </a:prstGeom>
                    <a:noFill/>
                    <a:ln>
                      <a:noFill/>
                    </a:ln>
                  </pic:spPr>
                </pic:pic>
              </a:graphicData>
            </a:graphic>
          </wp:inline>
        </w:drawing>
      </w:r>
      <w:r w:rsidR="00BE3340" w:rsidRPr="00BE3340">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707CAD0C" w14:textId="49A0EF83" w:rsidR="00AE3E37" w:rsidRPr="00FA77B4" w:rsidRDefault="00FA77B4" w:rsidP="00FA77B4">
      <w:pPr>
        <w:pStyle w:val="BodyText"/>
        <w:autoSpaceDE w:val="0"/>
        <w:autoSpaceDN w:val="0"/>
        <w:adjustRightInd w:val="0"/>
        <w:ind w:firstLine="720"/>
        <w:rPr>
          <w:rFonts w:ascii="Times" w:hAnsi="Times"/>
          <w:sz w:val="20"/>
        </w:rPr>
      </w:pPr>
      <w:r w:rsidRPr="00FA77B4">
        <w:rPr>
          <w:rFonts w:asciiTheme="minorBidi" w:hAnsiTheme="minorBidi" w:cstheme="minorBidi"/>
          <w:sz w:val="14"/>
          <w:szCs w:val="14"/>
        </w:rPr>
        <w:t xml:space="preserve">Hesham R. El-Seedi working in the area of isolation, structure elucidation and synthesis of biologically active natural products from medicinal plants, marine and bee products. Recently, we started also a project on nanoparticles synthesis. Prof. Hesham is a former fellow of the Japanese Society of Promotion of Science (JSPS), Faculty of Science and </w:t>
      </w:r>
      <w:r w:rsidRPr="00FA77B4">
        <w:rPr>
          <w:rFonts w:asciiTheme="minorBidi" w:hAnsiTheme="minorBidi" w:cstheme="minorBidi"/>
          <w:noProof/>
          <w:sz w:val="14"/>
          <w:szCs w:val="14"/>
        </w:rPr>
        <mc:AlternateContent>
          <mc:Choice Requires="wps">
            <w:drawing>
              <wp:anchor distT="0" distB="0" distL="114300" distR="114300" simplePos="0" relativeHeight="251659264" behindDoc="0" locked="0" layoutInCell="0" allowOverlap="1" wp14:anchorId="500AE8D1" wp14:editId="4D9282C0">
                <wp:simplePos x="0" y="0"/>
                <wp:positionH relativeFrom="page">
                  <wp:posOffset>-59055</wp:posOffset>
                </wp:positionH>
                <wp:positionV relativeFrom="page">
                  <wp:posOffset>-219075</wp:posOffset>
                </wp:positionV>
                <wp:extent cx="0" cy="9559290"/>
                <wp:effectExtent l="0" t="0" r="0" b="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55929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CBAE160" id="Line 8"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65pt,-17.25pt" to="-4.65pt,7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" o:allowincell="f">
                <v:shadow color="black" opacity="49150f" offset=".74833mm,.74833mm"/>
                <w10:wrap anchorx="page" anchory="page"/>
              </v:line>
            </w:pict>
          </mc:Fallback>
        </mc:AlternateContent>
      </w:r>
      <w:r w:rsidRPr="00FA77B4">
        <w:rPr>
          <w:rFonts w:asciiTheme="minorBidi" w:hAnsiTheme="minorBidi" w:cstheme="minorBidi"/>
          <w:sz w:val="14"/>
          <w:szCs w:val="14"/>
        </w:rPr>
        <w:t xml:space="preserve">Technology, Keio University, Japan, under direction of Prof. </w:t>
      </w:r>
      <w:proofErr w:type="spellStart"/>
      <w:r w:rsidRPr="00FA77B4">
        <w:rPr>
          <w:rFonts w:asciiTheme="minorBidi" w:hAnsiTheme="minorBidi" w:cstheme="minorBidi"/>
          <w:sz w:val="14"/>
          <w:szCs w:val="14"/>
        </w:rPr>
        <w:t>Shosuke</w:t>
      </w:r>
      <w:proofErr w:type="spellEnd"/>
      <w:r w:rsidRPr="00FA77B4">
        <w:rPr>
          <w:rFonts w:asciiTheme="minorBidi" w:hAnsiTheme="minorBidi" w:cstheme="minorBidi"/>
          <w:sz w:val="14"/>
          <w:szCs w:val="14"/>
        </w:rPr>
        <w:t xml:space="preserve"> Yamamura and Prof. S. Nishiyama. Throughout his carrier, he worked in pioneer internationally recognized laboratories including Geneva University, Switzerland, in collaboration with Prof. Kurt </w:t>
      </w:r>
      <w:proofErr w:type="spellStart"/>
      <w:r w:rsidRPr="00FA77B4">
        <w:rPr>
          <w:rFonts w:asciiTheme="minorBidi" w:hAnsiTheme="minorBidi" w:cstheme="minorBidi"/>
          <w:sz w:val="14"/>
          <w:szCs w:val="14"/>
        </w:rPr>
        <w:t>Hostettmann</w:t>
      </w:r>
      <w:proofErr w:type="spellEnd"/>
      <w:r w:rsidRPr="00FA77B4">
        <w:rPr>
          <w:rFonts w:asciiTheme="minorBidi" w:hAnsiTheme="minorBidi" w:cstheme="minorBidi"/>
          <w:sz w:val="14"/>
          <w:szCs w:val="14"/>
        </w:rPr>
        <w:t xml:space="preserve">, </w:t>
      </w:r>
      <w:proofErr w:type="spellStart"/>
      <w:r w:rsidRPr="00FA77B4">
        <w:rPr>
          <w:rFonts w:asciiTheme="minorBidi" w:hAnsiTheme="minorBidi" w:cstheme="minorBidi"/>
          <w:sz w:val="14"/>
          <w:szCs w:val="14"/>
        </w:rPr>
        <w:t>Kunglia</w:t>
      </w:r>
      <w:proofErr w:type="spellEnd"/>
      <w:r w:rsidRPr="00FA77B4">
        <w:rPr>
          <w:rFonts w:asciiTheme="minorBidi" w:hAnsiTheme="minorBidi" w:cstheme="minorBidi"/>
          <w:sz w:val="14"/>
          <w:szCs w:val="14"/>
        </w:rPr>
        <w:t xml:space="preserve"> </w:t>
      </w:r>
      <w:proofErr w:type="spellStart"/>
      <w:r w:rsidRPr="00FA77B4">
        <w:rPr>
          <w:rFonts w:asciiTheme="minorBidi" w:hAnsiTheme="minorBidi" w:cstheme="minorBidi"/>
          <w:sz w:val="14"/>
          <w:szCs w:val="14"/>
        </w:rPr>
        <w:t>Tekniska</w:t>
      </w:r>
      <w:proofErr w:type="spellEnd"/>
      <w:r w:rsidRPr="00FA77B4">
        <w:rPr>
          <w:rFonts w:asciiTheme="minorBidi" w:hAnsiTheme="minorBidi" w:cstheme="minorBidi"/>
          <w:sz w:val="14"/>
          <w:szCs w:val="14"/>
        </w:rPr>
        <w:t xml:space="preserve"> </w:t>
      </w:r>
      <w:proofErr w:type="spellStart"/>
      <w:r w:rsidRPr="00FA77B4">
        <w:rPr>
          <w:rFonts w:asciiTheme="minorBidi" w:hAnsiTheme="minorBidi" w:cstheme="minorBidi"/>
          <w:sz w:val="14"/>
          <w:szCs w:val="14"/>
        </w:rPr>
        <w:t>Högskola</w:t>
      </w:r>
      <w:proofErr w:type="spellEnd"/>
      <w:r w:rsidRPr="00FA77B4">
        <w:rPr>
          <w:rFonts w:asciiTheme="minorBidi" w:hAnsiTheme="minorBidi" w:cstheme="minorBidi"/>
          <w:sz w:val="14"/>
          <w:szCs w:val="14"/>
        </w:rPr>
        <w:t xml:space="preserve"> (KTH), Stockholm, Sweden (since 2007), Faculty of Pharmacy, Uppsala Biomedical Center, Uppsala University, Sweden and Menoufia University, Egypt. He was appointed as Adjunct Faculty Professor at the International Center for Chemical and Biological Sciences (ICCBS), Karachi, Pakistan, 2017 and was rewarded two Swedish Research Links grants for the 2017-2019.He has published peer-reviewed international research articles and scientific papers, reviews, chapters in Peer-Reviewed International Journals</w:t>
      </w:r>
      <w:r w:rsidRPr="00740802">
        <w:rPr>
          <w:rFonts w:ascii="Times" w:hAnsi="Times"/>
          <w:sz w:val="20"/>
        </w:rPr>
        <w:t xml:space="preserve"> </w:t>
      </w:r>
    </w:p>
    <w:p w14:paraId="7A079E11" w14:textId="6EAB894E" w:rsidR="00AE3E37" w:rsidRPr="00FA77B4" w:rsidRDefault="00A9710C" w:rsidP="00FA77B4">
      <w:pPr>
        <w:spacing w:before="62"/>
        <w:ind w:left="4217" w:right="4235"/>
        <w:jc w:val="center"/>
        <w:rPr>
          <w:rFonts w:asciiTheme="minorBidi" w:hAnsiTheme="minorBidi" w:cstheme="minorBidi"/>
          <w:sz w:val="14"/>
          <w:szCs w:val="14"/>
        </w:rPr>
      </w:pPr>
      <w:r w:rsidRPr="00FA77B4">
        <w:rPr>
          <w:rFonts w:asciiTheme="minorBidi" w:hAnsiTheme="minorBidi" w:cstheme="minorBidi"/>
          <w:sz w:val="14"/>
          <w:szCs w:val="14"/>
        </w:rPr>
        <w:t xml:space="preserve">Email: </w:t>
      </w:r>
      <w:hyperlink r:id="rId12" w:history="1">
        <w:r w:rsidR="00FA77B4" w:rsidRPr="00FA77B4">
          <w:rPr>
            <w:rStyle w:val="Hyperlink"/>
            <w:rFonts w:asciiTheme="minorBidi" w:hAnsiTheme="minorBidi" w:cstheme="minorBidi"/>
            <w:sz w:val="14"/>
            <w:szCs w:val="14"/>
            <w:lang w:val="en-GB"/>
          </w:rPr>
          <w:t>hesham.elseedi@ilk.uu.se</w:t>
        </w:r>
      </w:hyperlink>
    </w:p>
    <w:p w14:paraId="1147E3FF"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B8F2BA5" wp14:editId="1E8A4DE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A4C81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" strokecolor="#004080" strokeweight=".5pt">
                <w10:wrap type="topAndBottom" anchorx="page"/>
              </v:line>
            </w:pict>
          </mc:Fallback>
        </mc:AlternateContent>
      </w:r>
    </w:p>
    <w:p w14:paraId="0E025DD2" w14:textId="77777777" w:rsidR="00AE3E37" w:rsidRDefault="00AE3E37">
      <w:pPr>
        <w:pStyle w:val="BodyText"/>
        <w:rPr>
          <w:rFonts w:ascii="Arial"/>
          <w:sz w:val="20"/>
        </w:rPr>
      </w:pPr>
    </w:p>
    <w:p w14:paraId="0BD5ECE7" w14:textId="77777777" w:rsidR="00AE3E37" w:rsidRDefault="00AE3E37">
      <w:pPr>
        <w:pStyle w:val="BodyText"/>
        <w:rPr>
          <w:rFonts w:ascii="Arial"/>
          <w:sz w:val="20"/>
        </w:rPr>
      </w:pPr>
    </w:p>
    <w:p w14:paraId="28EE0275" w14:textId="77777777" w:rsidR="00AE3E37" w:rsidRDefault="00AE3E37">
      <w:pPr>
        <w:pStyle w:val="BodyText"/>
        <w:spacing w:before="7"/>
        <w:rPr>
          <w:rFonts w:ascii="Arial"/>
          <w:sz w:val="29"/>
        </w:rPr>
      </w:pPr>
    </w:p>
    <w:p w14:paraId="4DE1003F" w14:textId="77777777" w:rsidR="00AE3E37" w:rsidRPr="00B21A57" w:rsidRDefault="00A9710C">
      <w:pPr>
        <w:spacing w:before="39"/>
        <w:ind w:left="100"/>
        <w:rPr>
          <w:rFonts w:ascii="Minion Pro"/>
          <w:b/>
          <w:sz w:val="20"/>
        </w:rPr>
      </w:pPr>
      <w:r w:rsidRPr="00B21A57">
        <w:rPr>
          <w:rFonts w:ascii="Minion Pro"/>
          <w:b/>
          <w:sz w:val="20"/>
        </w:rPr>
        <w:t>Notes/Comments:</w:t>
      </w:r>
    </w:p>
    <w:p w14:paraId="4BD33E2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203A8F9"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C0019B" w14:textId="77777777" w:rsidR="00972B4A" w:rsidRDefault="00972B4A">
      <w:r>
        <w:separator/>
      </w:r>
    </w:p>
  </w:endnote>
  <w:endnote w:type="continuationSeparator" w:id="0">
    <w:p w14:paraId="2B567680" w14:textId="77777777" w:rsidR="00972B4A" w:rsidRDefault="00972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yriadPro-Regular">
    <w:panose1 w:val="020B0604020202020204"/>
    <w:charset w:val="B2"/>
    <w:family w:val="auto"/>
    <w:notTrueType/>
    <w:pitch w:val="default"/>
    <w:sig w:usb0="00002001" w:usb1="00000000" w:usb2="00000000" w:usb3="00000000" w:csb0="00000040" w:csb1="00000000"/>
  </w:font>
  <w:font w:name="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6BFF1B"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493F548" wp14:editId="5B35A0B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B4A1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895C66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93F54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373B4A1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895C66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363C3AE" wp14:editId="1556C85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34D9A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8E299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63C3A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3A34D9A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88E299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D4FD106" wp14:editId="3A12A7D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9C81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35D6C9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4FD106"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3459C81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35D6C9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8EFF06" w14:textId="77777777" w:rsidR="00972B4A" w:rsidRDefault="00972B4A">
      <w:r>
        <w:separator/>
      </w:r>
    </w:p>
  </w:footnote>
  <w:footnote w:type="continuationSeparator" w:id="0">
    <w:p w14:paraId="207333BA" w14:textId="77777777" w:rsidR="00972B4A" w:rsidRDefault="00972B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27046F"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CE3DBD1" wp14:editId="0C74BC3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BE136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E3DBD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8BE1369"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564606A" wp14:editId="26D3C0B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3E6B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EF6865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64606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0343E6B6"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EF68651"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6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E2911"/>
    <w:rsid w:val="001263DF"/>
    <w:rsid w:val="001F6246"/>
    <w:rsid w:val="00292ED9"/>
    <w:rsid w:val="003E1E3A"/>
    <w:rsid w:val="00404E5B"/>
    <w:rsid w:val="00414F7B"/>
    <w:rsid w:val="004355DC"/>
    <w:rsid w:val="004749B4"/>
    <w:rsid w:val="00494130"/>
    <w:rsid w:val="004F3523"/>
    <w:rsid w:val="005973B9"/>
    <w:rsid w:val="005B3A56"/>
    <w:rsid w:val="006060CE"/>
    <w:rsid w:val="0063497F"/>
    <w:rsid w:val="007C5ECE"/>
    <w:rsid w:val="0083734A"/>
    <w:rsid w:val="00873DF0"/>
    <w:rsid w:val="008756E6"/>
    <w:rsid w:val="00972B4A"/>
    <w:rsid w:val="009B2D44"/>
    <w:rsid w:val="009C6E7F"/>
    <w:rsid w:val="00A07E82"/>
    <w:rsid w:val="00A9710C"/>
    <w:rsid w:val="00AE3E37"/>
    <w:rsid w:val="00B21A57"/>
    <w:rsid w:val="00BE3340"/>
    <w:rsid w:val="00C33602"/>
    <w:rsid w:val="00C601A1"/>
    <w:rsid w:val="00CD6F55"/>
    <w:rsid w:val="00DC72E8"/>
    <w:rsid w:val="00DE3104"/>
    <w:rsid w:val="00E21524"/>
    <w:rsid w:val="00F72EEA"/>
    <w:rsid w:val="00F82F97"/>
    <w:rsid w:val="00F84CAE"/>
    <w:rsid w:val="00FA77B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60FA4"/>
  <w15:docId w15:val="{C244055D-0364-E84C-A139-27DBCEB56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F82F97"/>
    <w:pPr>
      <w:widowControl/>
      <w:spacing w:before="100" w:beforeAutospacing="1" w:after="100" w:afterAutospacing="1"/>
    </w:pPr>
    <w:rPr>
      <w:rFonts w:ascii="Times New Roman" w:eastAsia="Times New Roman" w:hAnsi="Times New Roman" w:cs="Times New Roman"/>
      <w:sz w:val="24"/>
      <w:szCs w:val="24"/>
    </w:rPr>
  </w:style>
  <w:style w:type="character" w:customStyle="1" w:styleId="ej-keyword">
    <w:name w:val="ej-keyword"/>
    <w:basedOn w:val="DefaultParagraphFont"/>
    <w:rsid w:val="00F82F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987205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hesham.elseedi@ilk.uu.s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35336-9705-584B-AB8A-E8138603A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881</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Hesham El-Seedi</cp:lastModifiedBy>
  <cp:revision>2</cp:revision>
  <dcterms:created xsi:type="dcterms:W3CDTF">2019-07-05T19:29:00Z</dcterms:created>
  <dcterms:modified xsi:type="dcterms:W3CDTF">2019-07-05T19:29:00Z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10th edition - Harvard</vt:lpwstr>
  </property>
  <property fmtid="{D5CDD505-2E9C-101B-9397-08002B2CF9AE}" pid="13" name="Mendeley Recent Style Id 4_1">
    <vt:lpwstr>http://www.zotero.org/styles/food-research-international</vt:lpwstr>
  </property>
  <property fmtid="{D5CDD505-2E9C-101B-9397-08002B2CF9AE}" pid="14" name="Mendeley Recent Style Name 4_1">
    <vt:lpwstr>Food Research International</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http://www.zotero.org/styles/pharmacological-research</vt:lpwstr>
  </property>
  <property fmtid="{D5CDD505-2E9C-101B-9397-08002B2CF9AE}" pid="20" name="Mendeley Recent Style Name 7_1">
    <vt:lpwstr>Pharmacological Research</vt:lpwstr>
  </property>
  <property fmtid="{D5CDD505-2E9C-101B-9397-08002B2CF9AE}" pid="21" name="Mendeley Recent Style Id 8_1">
    <vt:lpwstr>http://www.zotero.org/styles/scientific-reports</vt:lpwstr>
  </property>
  <property fmtid="{D5CDD505-2E9C-101B-9397-08002B2CF9AE}" pid="22" name="Mendeley Recent Style Name 8_1">
    <vt:lpwstr>Scientific Reports</vt:lpwstr>
  </property>
  <property fmtid="{D5CDD505-2E9C-101B-9397-08002B2CF9AE}" pid="23" name="Mendeley Recent Style Id 9_1">
    <vt:lpwstr>http://www.zotero.org/styles/toxicon</vt:lpwstr>
  </property>
  <property fmtid="{D5CDD505-2E9C-101B-9397-08002B2CF9AE}" pid="24" name="Mendeley Recent Style Name 9_1">
    <vt:lpwstr>Toxicon</vt:lpwstr>
  </property>
  <property fmtid="{D5CDD505-2E9C-101B-9397-08002B2CF9AE}" pid="25" name="Mendeley Citation Style_1">
    <vt:lpwstr>http://www.zotero.org/styles/american-sociological-association</vt:lpwstr>
  </property>
</Properties>
</file>