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B339E" w:rsidP="00494130">
      <w:pPr>
        <w:pStyle w:val="Heading1"/>
        <w:spacing w:before="170"/>
        <w:ind w:left="0"/>
      </w:pPr>
      <w:r>
        <w:rPr>
          <w:color w:val="337AB7"/>
        </w:rPr>
        <w:t xml:space="preserve">Role of </w:t>
      </w:r>
      <w:proofErr w:type="spellStart"/>
      <w:r>
        <w:rPr>
          <w:color w:val="337AB7"/>
        </w:rPr>
        <w:t>Biobanking</w:t>
      </w:r>
      <w:proofErr w:type="spellEnd"/>
      <w:r>
        <w:rPr>
          <w:color w:val="337AB7"/>
        </w:rPr>
        <w:t xml:space="preserve"> in D</w:t>
      </w:r>
      <w:r w:rsidR="008B38D7">
        <w:rPr>
          <w:color w:val="337AB7"/>
        </w:rPr>
        <w:t>iscovering</w:t>
      </w:r>
      <w:r>
        <w:rPr>
          <w:color w:val="337AB7"/>
        </w:rPr>
        <w:t xml:space="preserve"> Pharmacologic </w:t>
      </w:r>
      <w:r w:rsidR="00FC17E2">
        <w:rPr>
          <w:color w:val="337AB7"/>
        </w:rPr>
        <w:t xml:space="preserve">Biomarker </w:t>
      </w:r>
      <w:r>
        <w:rPr>
          <w:color w:val="337AB7"/>
        </w:rPr>
        <w:t xml:space="preserve">Targets </w:t>
      </w:r>
      <w:r w:rsidR="00647EDF">
        <w:rPr>
          <w:color w:val="337AB7"/>
        </w:rPr>
        <w:t>for the Practice of</w:t>
      </w:r>
      <w:r>
        <w:rPr>
          <w:color w:val="337AB7"/>
        </w:rPr>
        <w:t xml:space="preserve"> Precision Medicine</w:t>
      </w:r>
    </w:p>
    <w:p w:rsidR="002B339E" w:rsidRDefault="002B339E" w:rsidP="002B339E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Stephanie C. Tanner, </w:t>
      </w:r>
      <w:proofErr w:type="gramStart"/>
      <w:r>
        <w:rPr>
          <w:rFonts w:ascii="Arial"/>
        </w:rPr>
        <w:t>MD</w:t>
      </w:r>
      <w:r w:rsidR="00F04C2A">
        <w:rPr>
          <w:rFonts w:ascii="Arial"/>
        </w:rPr>
        <w:t xml:space="preserve">  </w:t>
      </w:r>
      <w:r w:rsidR="00FC17E2">
        <w:rPr>
          <w:rFonts w:ascii="Arial"/>
        </w:rPr>
        <w:t>and</w:t>
      </w:r>
      <w:proofErr w:type="gramEnd"/>
      <w:r w:rsidR="00356B66">
        <w:rPr>
          <w:rFonts w:ascii="Arial"/>
        </w:rPr>
        <w:t xml:space="preserve"> </w:t>
      </w:r>
      <w:r w:rsidR="0078209E">
        <w:rPr>
          <w:rFonts w:ascii="Arial"/>
        </w:rPr>
        <w:t xml:space="preserve"> </w:t>
      </w:r>
      <w:r>
        <w:rPr>
          <w:rFonts w:ascii="Arial"/>
        </w:rPr>
        <w:t>Richard L. Summers, MD</w:t>
      </w:r>
    </w:p>
    <w:p w:rsidR="002B339E" w:rsidRDefault="002B339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University of Mississippi Medical Center,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:rsidR="003E34F2" w:rsidRPr="004A54E9" w:rsidRDefault="003E34F2">
      <w:pPr>
        <w:pStyle w:val="Heading3"/>
        <w:spacing w:before="147"/>
        <w:jc w:val="both"/>
        <w:rPr>
          <w:sz w:val="12"/>
          <w:szCs w:val="12"/>
        </w:rPr>
      </w:pPr>
    </w:p>
    <w:p w:rsidR="00E35F00" w:rsidRDefault="00356B66" w:rsidP="004A54E9">
      <w:pPr>
        <w:spacing w:line="220" w:lineRule="atLeast"/>
        <w:jc w:val="both"/>
        <w:rPr>
          <w:rFonts w:cs="Arial"/>
          <w:sz w:val="18"/>
          <w:szCs w:val="18"/>
        </w:rPr>
      </w:pPr>
      <w:r w:rsidRPr="003A6553">
        <w:rPr>
          <w:b/>
          <w:sz w:val="18"/>
          <w:szCs w:val="18"/>
        </w:rPr>
        <w:t>Statement of the Problem:</w:t>
      </w:r>
      <w:r w:rsidRPr="00356B66">
        <w:rPr>
          <w:sz w:val="18"/>
          <w:szCs w:val="18"/>
        </w:rPr>
        <w:t xml:space="preserve"> </w:t>
      </w:r>
      <w:r w:rsidRPr="00356B66">
        <w:rPr>
          <w:rFonts w:cs="Arial"/>
          <w:sz w:val="18"/>
          <w:szCs w:val="18"/>
        </w:rPr>
        <w:t>Clinical s</w:t>
      </w:r>
      <w:r>
        <w:rPr>
          <w:rFonts w:cs="Arial"/>
          <w:sz w:val="18"/>
          <w:szCs w:val="18"/>
        </w:rPr>
        <w:t>tudies that examine</w:t>
      </w:r>
      <w:r w:rsidRPr="00356B66">
        <w:rPr>
          <w:rFonts w:cs="Arial"/>
          <w:sz w:val="18"/>
          <w:szCs w:val="18"/>
        </w:rPr>
        <w:t xml:space="preserve"> the outcomes of different </w:t>
      </w:r>
      <w:r>
        <w:rPr>
          <w:rFonts w:cs="Arial"/>
          <w:sz w:val="18"/>
          <w:szCs w:val="18"/>
        </w:rPr>
        <w:t xml:space="preserve">treatments have </w:t>
      </w:r>
      <w:r w:rsidRPr="00356B66">
        <w:rPr>
          <w:rFonts w:cs="Arial"/>
          <w:sz w:val="18"/>
          <w:szCs w:val="18"/>
        </w:rPr>
        <w:t xml:space="preserve">guided the development of standards of care for the practice of medicine.   While the evidences of these clinical trials </w:t>
      </w:r>
      <w:r w:rsidR="003A6553">
        <w:rPr>
          <w:rFonts w:cs="Arial"/>
          <w:sz w:val="18"/>
          <w:szCs w:val="18"/>
        </w:rPr>
        <w:t>has</w:t>
      </w:r>
      <w:r w:rsidRPr="00356B66">
        <w:rPr>
          <w:rFonts w:cs="Arial"/>
          <w:sz w:val="18"/>
          <w:szCs w:val="18"/>
        </w:rPr>
        <w:t xml:space="preserve"> inform</w:t>
      </w:r>
      <w:r w:rsidR="003A6553">
        <w:rPr>
          <w:rFonts w:cs="Arial"/>
          <w:sz w:val="18"/>
          <w:szCs w:val="18"/>
        </w:rPr>
        <w:t>ed</w:t>
      </w:r>
      <w:r w:rsidRPr="00356B66">
        <w:rPr>
          <w:rFonts w:cs="Arial"/>
          <w:sz w:val="18"/>
          <w:szCs w:val="18"/>
        </w:rPr>
        <w:t xml:space="preserve"> an improved practice of medicine, they focus on the outcome likelihoods for the population of patients as a whole</w:t>
      </w:r>
      <w:r>
        <w:rPr>
          <w:rFonts w:cs="Arial"/>
          <w:sz w:val="18"/>
          <w:szCs w:val="18"/>
        </w:rPr>
        <w:t xml:space="preserve"> and</w:t>
      </w:r>
      <w:r w:rsidR="00E35F00">
        <w:rPr>
          <w:rFonts w:cs="Arial"/>
          <w:sz w:val="18"/>
          <w:szCs w:val="18"/>
        </w:rPr>
        <w:t xml:space="preserve"> therefore </w:t>
      </w:r>
      <w:r w:rsidRPr="00356B66">
        <w:rPr>
          <w:rFonts w:cs="Arial"/>
          <w:sz w:val="18"/>
          <w:szCs w:val="18"/>
        </w:rPr>
        <w:t xml:space="preserve">treatment guidelines </w:t>
      </w:r>
      <w:r>
        <w:rPr>
          <w:rFonts w:cs="Arial"/>
          <w:sz w:val="18"/>
          <w:szCs w:val="18"/>
        </w:rPr>
        <w:t xml:space="preserve">have </w:t>
      </w:r>
      <w:r w:rsidRPr="00356B66">
        <w:rPr>
          <w:rFonts w:cs="Arial"/>
          <w:sz w:val="18"/>
          <w:szCs w:val="18"/>
        </w:rPr>
        <w:t>evolved into a one-size-fits-all methodology.</w:t>
      </w:r>
      <w:r w:rsidRPr="00356B66">
        <w:rPr>
          <w:rFonts w:cs="Arial"/>
          <w:sz w:val="18"/>
          <w:szCs w:val="18"/>
        </w:rPr>
        <w:t xml:space="preserve"> </w:t>
      </w:r>
      <w:r w:rsidR="00E35F00">
        <w:rPr>
          <w:rFonts w:cs="Arial"/>
          <w:sz w:val="18"/>
          <w:szCs w:val="18"/>
        </w:rPr>
        <w:t xml:space="preserve">Recently, </w:t>
      </w:r>
      <w:r w:rsidR="00AA5907">
        <w:rPr>
          <w:rFonts w:cs="Arial"/>
          <w:sz w:val="18"/>
          <w:szCs w:val="18"/>
        </w:rPr>
        <w:t>t</w:t>
      </w:r>
      <w:r w:rsidRPr="00356B66">
        <w:rPr>
          <w:rFonts w:cs="Arial"/>
          <w:sz w:val="18"/>
          <w:szCs w:val="18"/>
        </w:rPr>
        <w:t>he modern methods of precision/personalized medicine have emerged as the course of medical practice for the future.</w:t>
      </w:r>
      <w:r w:rsidR="008775DD">
        <w:rPr>
          <w:rFonts w:cs="Arial"/>
          <w:sz w:val="18"/>
          <w:szCs w:val="18"/>
        </w:rPr>
        <w:t xml:space="preserve"> </w:t>
      </w:r>
      <w:r w:rsidRPr="00356B66">
        <w:rPr>
          <w:rFonts w:cs="Arial"/>
          <w:sz w:val="18"/>
          <w:szCs w:val="18"/>
        </w:rPr>
        <w:t xml:space="preserve"> </w:t>
      </w:r>
      <w:r w:rsidR="003A6553">
        <w:rPr>
          <w:rFonts w:cs="Arial"/>
          <w:sz w:val="18"/>
          <w:szCs w:val="18"/>
        </w:rPr>
        <w:t>The discovery of biomarker targets for the pharmacologic strategies of precision medicine will be critical to the development of this practice.</w:t>
      </w:r>
    </w:p>
    <w:p w:rsidR="00E35F00" w:rsidRDefault="00E35F00" w:rsidP="004A54E9">
      <w:pPr>
        <w:spacing w:line="220" w:lineRule="atLeast"/>
        <w:jc w:val="both"/>
        <w:rPr>
          <w:rFonts w:cs="Arial"/>
          <w:sz w:val="18"/>
          <w:szCs w:val="18"/>
        </w:rPr>
      </w:pPr>
    </w:p>
    <w:p w:rsidR="00E55BC8" w:rsidRDefault="008D5C01" w:rsidP="004A54E9">
      <w:pPr>
        <w:spacing w:line="220" w:lineRule="atLeast"/>
        <w:jc w:val="both"/>
        <w:rPr>
          <w:rFonts w:cs="Arial"/>
          <w:sz w:val="18"/>
          <w:szCs w:val="18"/>
        </w:rPr>
      </w:pPr>
      <w:r w:rsidRPr="003A6553">
        <w:rPr>
          <w:b/>
          <w:sz w:val="18"/>
          <w:szCs w:val="18"/>
        </w:rPr>
        <w:t>Methodology</w:t>
      </w:r>
      <w:r w:rsidRPr="003A6553">
        <w:rPr>
          <w:b/>
          <w:sz w:val="18"/>
          <w:szCs w:val="18"/>
        </w:rPr>
        <w:t>:</w:t>
      </w:r>
      <w:r w:rsidRPr="008D5C01">
        <w:rPr>
          <w:rFonts w:cs="Arial"/>
          <w:b/>
          <w:sz w:val="18"/>
          <w:szCs w:val="18"/>
        </w:rPr>
        <w:t xml:space="preserve"> </w:t>
      </w:r>
      <w:r w:rsidR="006844F7" w:rsidRPr="006844F7">
        <w:rPr>
          <w:rFonts w:cs="Arial"/>
          <w:sz w:val="18"/>
          <w:szCs w:val="18"/>
        </w:rPr>
        <w:t>Developing</w:t>
      </w:r>
      <w:r w:rsidR="00356B66" w:rsidRPr="006844F7">
        <w:rPr>
          <w:rFonts w:cs="Arial"/>
          <w:sz w:val="18"/>
          <w:szCs w:val="18"/>
        </w:rPr>
        <w:t xml:space="preserve"> pre</w:t>
      </w:r>
      <w:r w:rsidR="00356B66" w:rsidRPr="008D5C01">
        <w:rPr>
          <w:rFonts w:cs="Arial"/>
          <w:sz w:val="18"/>
          <w:szCs w:val="18"/>
        </w:rPr>
        <w:t xml:space="preserve">cision/personalized medicine </w:t>
      </w:r>
      <w:r w:rsidR="006844F7">
        <w:rPr>
          <w:rFonts w:cs="Arial"/>
          <w:sz w:val="18"/>
          <w:szCs w:val="18"/>
        </w:rPr>
        <w:t>systems</w:t>
      </w:r>
      <w:r w:rsidR="006844F7" w:rsidRPr="008D5C01">
        <w:rPr>
          <w:rFonts w:cs="Arial"/>
          <w:sz w:val="18"/>
          <w:szCs w:val="18"/>
        </w:rPr>
        <w:t xml:space="preserve"> </w:t>
      </w:r>
      <w:r w:rsidR="00356B66" w:rsidRPr="008D5C01">
        <w:rPr>
          <w:rFonts w:cs="Arial"/>
          <w:sz w:val="18"/>
          <w:szCs w:val="18"/>
        </w:rPr>
        <w:t xml:space="preserve">will require an improved capacity to </w:t>
      </w:r>
      <w:r w:rsidR="00647EDF" w:rsidRPr="008D5C01">
        <w:rPr>
          <w:rFonts w:cs="Arial"/>
          <w:sz w:val="18"/>
          <w:szCs w:val="18"/>
        </w:rPr>
        <w:t>link</w:t>
      </w:r>
      <w:r w:rsidR="00356B66" w:rsidRPr="008D5C01">
        <w:rPr>
          <w:rFonts w:cs="Arial"/>
          <w:sz w:val="18"/>
          <w:szCs w:val="18"/>
        </w:rPr>
        <w:t xml:space="preserve"> biologic </w:t>
      </w:r>
      <w:r>
        <w:rPr>
          <w:rFonts w:cs="Arial"/>
          <w:sz w:val="18"/>
          <w:szCs w:val="18"/>
        </w:rPr>
        <w:t>biomarkers</w:t>
      </w:r>
      <w:r w:rsidR="00356B66" w:rsidRPr="008D5C01">
        <w:rPr>
          <w:rFonts w:cs="Arial"/>
          <w:sz w:val="18"/>
          <w:szCs w:val="18"/>
        </w:rPr>
        <w:t xml:space="preserve"> </w:t>
      </w:r>
      <w:r w:rsidR="00647EDF" w:rsidRPr="008D5C01">
        <w:rPr>
          <w:rFonts w:cs="Arial"/>
          <w:sz w:val="18"/>
          <w:szCs w:val="18"/>
        </w:rPr>
        <w:t>with basic clinical, demographic and socioeconomic phenotypes</w:t>
      </w:r>
      <w:r w:rsidR="00356B66" w:rsidRPr="008D5C01">
        <w:rPr>
          <w:rFonts w:cs="Arial"/>
          <w:sz w:val="18"/>
          <w:szCs w:val="18"/>
        </w:rPr>
        <w:t xml:space="preserve">. </w:t>
      </w:r>
      <w:r w:rsidR="006F1990">
        <w:rPr>
          <w:rFonts w:cs="Arial"/>
          <w:sz w:val="18"/>
          <w:szCs w:val="18"/>
        </w:rPr>
        <w:t xml:space="preserve"> Such biomarkers can then be used as targets for patient-specific pharmacologic treatment strategies.  A process that back tracks clinical treatment outcomes or </w:t>
      </w:r>
      <w:r w:rsidR="003E34F2">
        <w:rPr>
          <w:rFonts w:cs="Arial"/>
          <w:sz w:val="18"/>
          <w:szCs w:val="18"/>
        </w:rPr>
        <w:t xml:space="preserve">   </w:t>
      </w:r>
      <w:r w:rsidR="006F1990">
        <w:rPr>
          <w:rFonts w:cs="Arial"/>
          <w:sz w:val="18"/>
          <w:szCs w:val="18"/>
        </w:rPr>
        <w:t>adverse events to biologic materials banked in a prospectively instituted biorepository system</w:t>
      </w:r>
      <w:r w:rsidR="00695911">
        <w:rPr>
          <w:rFonts w:cs="Arial"/>
          <w:sz w:val="18"/>
          <w:szCs w:val="18"/>
        </w:rPr>
        <w:t xml:space="preserve"> can be used in the discovery of </w:t>
      </w:r>
      <w:r w:rsidR="006844F7">
        <w:rPr>
          <w:rFonts w:cs="Arial"/>
          <w:sz w:val="18"/>
          <w:szCs w:val="18"/>
        </w:rPr>
        <w:t xml:space="preserve">these </w:t>
      </w:r>
      <w:r w:rsidR="00695911">
        <w:rPr>
          <w:rFonts w:cs="Arial"/>
          <w:sz w:val="18"/>
          <w:szCs w:val="18"/>
        </w:rPr>
        <w:t xml:space="preserve">potential biomarker targets.  </w:t>
      </w:r>
    </w:p>
    <w:p w:rsidR="00E55BC8" w:rsidRDefault="00E55BC8" w:rsidP="004A54E9">
      <w:pPr>
        <w:spacing w:line="220" w:lineRule="atLeast"/>
        <w:jc w:val="both"/>
        <w:rPr>
          <w:rFonts w:cs="Arial"/>
          <w:sz w:val="18"/>
          <w:szCs w:val="18"/>
        </w:rPr>
      </w:pPr>
    </w:p>
    <w:p w:rsidR="00485DAE" w:rsidRDefault="00E55BC8" w:rsidP="004A54E9">
      <w:pPr>
        <w:spacing w:line="220" w:lineRule="atLeast"/>
        <w:jc w:val="both"/>
        <w:rPr>
          <w:rFonts w:cs="Arial"/>
          <w:sz w:val="18"/>
          <w:szCs w:val="18"/>
        </w:rPr>
      </w:pPr>
      <w:r w:rsidRPr="003A6553">
        <w:rPr>
          <w:rFonts w:cs="Arial"/>
          <w:b/>
          <w:sz w:val="18"/>
          <w:szCs w:val="18"/>
        </w:rPr>
        <w:t>Results:</w:t>
      </w:r>
      <w:r>
        <w:rPr>
          <w:rFonts w:cs="Arial"/>
          <w:sz w:val="18"/>
          <w:szCs w:val="18"/>
        </w:rPr>
        <w:t xml:space="preserve"> A software interface was used to link information from the electronic health record (Epic) and other salient data contained within the enterprise data warehouse</w:t>
      </w:r>
      <w:r w:rsidR="008B38D7">
        <w:rPr>
          <w:rFonts w:cs="Arial"/>
          <w:sz w:val="18"/>
          <w:szCs w:val="18"/>
        </w:rPr>
        <w:t xml:space="preserve"> with samples in the biobank at the University </w:t>
      </w:r>
      <w:proofErr w:type="gramStart"/>
      <w:r w:rsidR="008B38D7">
        <w:rPr>
          <w:rFonts w:cs="Arial"/>
          <w:sz w:val="18"/>
          <w:szCs w:val="18"/>
        </w:rPr>
        <w:t>of</w:t>
      </w:r>
      <w:proofErr w:type="gramEnd"/>
      <w:r w:rsidR="008B38D7">
        <w:rPr>
          <w:rFonts w:cs="Arial"/>
          <w:sz w:val="18"/>
          <w:szCs w:val="18"/>
        </w:rPr>
        <w:t xml:space="preserve"> Mississippi Medical Center.  Researchers analyzing the epidemiologic characteristics of the data warehouse can identify cohorts of patients with specific responses to prescribed pharmacologic treatments. The </w:t>
      </w:r>
      <w:proofErr w:type="spellStart"/>
      <w:r w:rsidR="008B38D7">
        <w:rPr>
          <w:rFonts w:cs="Arial"/>
          <w:sz w:val="18"/>
          <w:szCs w:val="18"/>
        </w:rPr>
        <w:t>biobanked</w:t>
      </w:r>
      <w:proofErr w:type="spellEnd"/>
      <w:r w:rsidR="008B38D7">
        <w:rPr>
          <w:rFonts w:cs="Arial"/>
          <w:sz w:val="18"/>
          <w:szCs w:val="18"/>
        </w:rPr>
        <w:t xml:space="preserve"> biologic specimens that are</w:t>
      </w:r>
      <w:r w:rsidR="008B38D7" w:rsidRPr="008B38D7">
        <w:rPr>
          <w:rFonts w:cs="Arial"/>
          <w:sz w:val="18"/>
          <w:szCs w:val="18"/>
        </w:rPr>
        <w:t xml:space="preserve"> </w:t>
      </w:r>
      <w:r w:rsidR="008B38D7">
        <w:rPr>
          <w:rFonts w:cs="Arial"/>
          <w:sz w:val="18"/>
          <w:szCs w:val="18"/>
        </w:rPr>
        <w:t>associated with the individuals in these cohorts can then be recovered for an analysis of their pharmacogenetics and other omics</w:t>
      </w:r>
      <w:r w:rsidR="00485DAE">
        <w:rPr>
          <w:rFonts w:cs="Arial"/>
          <w:sz w:val="18"/>
          <w:szCs w:val="18"/>
        </w:rPr>
        <w:t xml:space="preserve"> as potential biomarker targets</w:t>
      </w:r>
      <w:r w:rsidR="008B38D7">
        <w:rPr>
          <w:rFonts w:cs="Arial"/>
          <w:sz w:val="18"/>
          <w:szCs w:val="18"/>
        </w:rPr>
        <w:t xml:space="preserve">. </w:t>
      </w:r>
    </w:p>
    <w:p w:rsidR="00485DAE" w:rsidRDefault="00485DAE" w:rsidP="004A54E9">
      <w:pPr>
        <w:spacing w:line="220" w:lineRule="atLeast"/>
        <w:jc w:val="both"/>
        <w:rPr>
          <w:rFonts w:cs="Arial"/>
          <w:sz w:val="18"/>
          <w:szCs w:val="18"/>
        </w:rPr>
      </w:pPr>
    </w:p>
    <w:p w:rsidR="00400AE5" w:rsidRDefault="00587885" w:rsidP="004A54E9">
      <w:pPr>
        <w:spacing w:line="220" w:lineRule="atLeast"/>
        <w:jc w:val="both"/>
        <w:rPr>
          <w:rFonts w:cs="Arial"/>
          <w:sz w:val="18"/>
          <w:szCs w:val="18"/>
        </w:rPr>
      </w:pPr>
      <w:r w:rsidRPr="003A6553">
        <w:rPr>
          <w:rFonts w:cs="Arial"/>
          <w:b/>
          <w:sz w:val="18"/>
          <w:szCs w:val="18"/>
        </w:rPr>
        <w:t>Conclusion:</w:t>
      </w:r>
      <w:r w:rsidR="00E55BC8">
        <w:rPr>
          <w:rFonts w:cs="Arial"/>
          <w:sz w:val="18"/>
          <w:szCs w:val="18"/>
        </w:rPr>
        <w:t xml:space="preserve"> </w:t>
      </w:r>
      <w:r w:rsidRPr="00356B66">
        <w:rPr>
          <w:rFonts w:cs="Arial"/>
          <w:sz w:val="18"/>
          <w:szCs w:val="18"/>
        </w:rPr>
        <w:t xml:space="preserve">The new precision medicine approach to </w:t>
      </w:r>
      <w:r w:rsidR="006844F7">
        <w:rPr>
          <w:rFonts w:cs="Arial"/>
          <w:sz w:val="18"/>
          <w:szCs w:val="18"/>
        </w:rPr>
        <w:t>clinical</w:t>
      </w:r>
      <w:r w:rsidRPr="00356B66">
        <w:rPr>
          <w:rFonts w:cs="Arial"/>
          <w:sz w:val="18"/>
          <w:szCs w:val="18"/>
        </w:rPr>
        <w:t xml:space="preserve"> practice represents a shift in the philosophy of </w:t>
      </w:r>
      <w:r w:rsidR="006844F7">
        <w:rPr>
          <w:rFonts w:cs="Arial"/>
          <w:sz w:val="18"/>
          <w:szCs w:val="18"/>
        </w:rPr>
        <w:t>treatment schemes</w:t>
      </w:r>
      <w:r w:rsidRPr="00356B66">
        <w:rPr>
          <w:rFonts w:cs="Arial"/>
          <w:sz w:val="18"/>
          <w:szCs w:val="18"/>
        </w:rPr>
        <w:t xml:space="preserve"> that will require a greater focus on the translation of basic biomedical research to practical </w:t>
      </w:r>
      <w:r w:rsidR="006844F7">
        <w:rPr>
          <w:rFonts w:cs="Arial"/>
          <w:sz w:val="18"/>
          <w:szCs w:val="18"/>
        </w:rPr>
        <w:t>patient applications</w:t>
      </w:r>
      <w:r w:rsidR="008775DD">
        <w:rPr>
          <w:rFonts w:cs="Arial"/>
          <w:sz w:val="18"/>
          <w:szCs w:val="18"/>
        </w:rPr>
        <w:t xml:space="preserve">.  Linking </w:t>
      </w:r>
      <w:proofErr w:type="spellStart"/>
      <w:r w:rsidR="008775DD">
        <w:rPr>
          <w:rFonts w:cs="Arial"/>
          <w:sz w:val="18"/>
          <w:szCs w:val="18"/>
        </w:rPr>
        <w:t>biobanked</w:t>
      </w:r>
      <w:proofErr w:type="spellEnd"/>
      <w:r w:rsidR="008775DD">
        <w:rPr>
          <w:rFonts w:cs="Arial"/>
          <w:sz w:val="18"/>
          <w:szCs w:val="18"/>
        </w:rPr>
        <w:t xml:space="preserve"> specimens to </w:t>
      </w:r>
      <w:r w:rsidR="006844F7">
        <w:rPr>
          <w:rFonts w:cs="Arial"/>
          <w:sz w:val="18"/>
          <w:szCs w:val="18"/>
        </w:rPr>
        <w:t xml:space="preserve">observed </w:t>
      </w:r>
      <w:bookmarkStart w:id="0" w:name="_GoBack"/>
      <w:bookmarkEnd w:id="0"/>
      <w:r w:rsidR="008775DD">
        <w:rPr>
          <w:rFonts w:cs="Arial"/>
          <w:sz w:val="18"/>
          <w:szCs w:val="18"/>
        </w:rPr>
        <w:t xml:space="preserve">outcomes in clinical cohorts will be critical to the discovery of biomarker targets that facilitate decisions regarding precision pharmacologic strategies.  </w:t>
      </w:r>
      <w:r w:rsidR="006F1990">
        <w:rPr>
          <w:rFonts w:cs="Arial"/>
          <w:sz w:val="18"/>
          <w:szCs w:val="18"/>
        </w:rPr>
        <w:t xml:space="preserve">   </w:t>
      </w:r>
    </w:p>
    <w:p w:rsidR="00356B66" w:rsidRDefault="00356B66" w:rsidP="004A54E9">
      <w:pPr>
        <w:spacing w:line="220" w:lineRule="atLeast"/>
        <w:jc w:val="both"/>
        <w:rPr>
          <w:rFonts w:cs="Arial"/>
          <w:sz w:val="18"/>
          <w:szCs w:val="18"/>
        </w:rPr>
      </w:pPr>
      <w:r w:rsidRPr="008D5C01">
        <w:rPr>
          <w:rFonts w:cs="Arial"/>
          <w:sz w:val="18"/>
          <w:szCs w:val="18"/>
        </w:rPr>
        <w:t xml:space="preserve">   </w:t>
      </w:r>
    </w:p>
    <w:p w:rsidR="00587885" w:rsidRDefault="00587885" w:rsidP="00356B66">
      <w:pPr>
        <w:rPr>
          <w:rFonts w:cs="Arial"/>
          <w:sz w:val="18"/>
          <w:szCs w:val="18"/>
        </w:rPr>
      </w:pPr>
    </w:p>
    <w:p w:rsidR="00271F8F" w:rsidRDefault="00271F8F" w:rsidP="00356B66">
      <w:pPr>
        <w:rPr>
          <w:rFonts w:cs="Arial"/>
          <w:sz w:val="18"/>
          <w:szCs w:val="18"/>
        </w:rPr>
      </w:pPr>
    </w:p>
    <w:p w:rsidR="00400AE5" w:rsidRDefault="00400AE5" w:rsidP="00356B66">
      <w:pPr>
        <w:rPr>
          <w:rFonts w:cs="Arial"/>
          <w:sz w:val="18"/>
          <w:szCs w:val="18"/>
        </w:rPr>
      </w:pPr>
    </w:p>
    <w:p w:rsidR="00587885" w:rsidRPr="008D5C01" w:rsidRDefault="00587885" w:rsidP="00356B66">
      <w:pPr>
        <w:rPr>
          <w:rFonts w:cs="Arial"/>
          <w:sz w:val="18"/>
          <w:szCs w:val="18"/>
        </w:rPr>
      </w:pPr>
    </w:p>
    <w:p w:rsidR="00AE3E37" w:rsidRDefault="00AE3E37">
      <w:pPr>
        <w:pStyle w:val="Heading3"/>
        <w:spacing w:before="74"/>
      </w:pPr>
    </w:p>
    <w:p w:rsidR="00271F8F" w:rsidRDefault="00271F8F">
      <w:pPr>
        <w:pStyle w:val="BodyText"/>
        <w:spacing w:before="2"/>
        <w:rPr>
          <w:rFonts w:ascii="Arial"/>
          <w:b/>
          <w:sz w:val="16"/>
        </w:rPr>
      </w:pPr>
    </w:p>
    <w:p w:rsidR="00271F8F" w:rsidRDefault="00271F8F">
      <w:pPr>
        <w:pStyle w:val="BodyText"/>
        <w:spacing w:before="2"/>
        <w:rPr>
          <w:rFonts w:ascii="Arial"/>
          <w:b/>
          <w:sz w:val="16"/>
        </w:rPr>
      </w:pPr>
    </w:p>
    <w:p w:rsidR="00AE3E37" w:rsidRDefault="00271F8F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</w:t>
      </w:r>
      <w:r w:rsidR="003E34F2">
        <w:rPr>
          <w:rFonts w:ascii="Arial"/>
          <w:b/>
          <w:sz w:val="16"/>
        </w:rPr>
        <w:t xml:space="preserve">  </w:t>
      </w:r>
      <w:r w:rsidR="00567FA6">
        <w:rPr>
          <w:noProof/>
        </w:rPr>
        <w:drawing>
          <wp:inline distT="0" distB="0" distL="0" distR="0" wp14:anchorId="2231AD75" wp14:editId="1E9ED980">
            <wp:extent cx="3165475" cy="2355850"/>
            <wp:effectExtent l="0" t="0" r="0" b="635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A8193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3E34F2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>Recent Publications</w:t>
      </w:r>
    </w:p>
    <w:p w:rsidR="005973B9" w:rsidRPr="00716E1C" w:rsidRDefault="005161C4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0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Somiari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SB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1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Somiari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RI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>.</w:t>
      </w:r>
      <w:r w:rsidRPr="00716E1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</w:t>
      </w:r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The Future of </w:t>
      </w:r>
      <w:proofErr w:type="spellStart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Biobanking</w:t>
      </w:r>
      <w:proofErr w:type="spellEnd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: A Conceptual Look at How Biobanks Can Respond to the Growing Human </w:t>
      </w:r>
      <w:proofErr w:type="spellStart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Biospecimen</w:t>
      </w:r>
      <w:proofErr w:type="spellEnd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Needs of Researchers.</w:t>
      </w:r>
      <w:r w:rsidRPr="00716E1C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hyperlink r:id="rId12" w:tooltip="Advances in experimental medicine and biology.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Adv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</w:t>
        </w:r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Exp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Med Biol.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 2015</w:t>
      </w:r>
      <w:proofErr w:type="gramStart"/>
      <w:r w:rsidRPr="00C312DC">
        <w:rPr>
          <w:rFonts w:eastAsia="Times New Roman" w:cs="Arial"/>
          <w:color w:val="000000" w:themeColor="text1"/>
          <w:sz w:val="18"/>
          <w:szCs w:val="18"/>
        </w:rPr>
        <w:t>;864:11</w:t>
      </w:r>
      <w:proofErr w:type="gramEnd"/>
      <w:r w:rsidRPr="00C312DC">
        <w:rPr>
          <w:rFonts w:eastAsia="Times New Roman" w:cs="Arial"/>
          <w:color w:val="000000" w:themeColor="text1"/>
          <w:sz w:val="18"/>
          <w:szCs w:val="18"/>
        </w:rPr>
        <w:t>-27</w:t>
      </w:r>
      <w:r w:rsidRPr="00716E1C">
        <w:rPr>
          <w:rFonts w:eastAsia="Times New Roman" w:cs="Arial"/>
          <w:color w:val="000000" w:themeColor="text1"/>
          <w:sz w:val="18"/>
          <w:szCs w:val="18"/>
        </w:rPr>
        <w:t>.</w:t>
      </w:r>
      <w:r w:rsidRPr="00716E1C">
        <w:rPr>
          <w:sz w:val="18"/>
        </w:rPr>
        <w:t xml:space="preserve">  </w:t>
      </w:r>
    </w:p>
    <w:p w:rsidR="005973B9" w:rsidRPr="00716E1C" w:rsidRDefault="005161C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hyperlink r:id="rId13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Ostrom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QT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4" w:history="1">
        <w:r w:rsidRPr="00C312DC">
          <w:rPr>
            <w:rFonts w:eastAsia="Times New Roman" w:cs="Arial"/>
            <w:color w:val="000000" w:themeColor="text1"/>
            <w:sz w:val="18"/>
            <w:szCs w:val="18"/>
          </w:rPr>
          <w:t>Devine K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5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Fulop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J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6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Wolinsky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Y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7" w:history="1">
        <w:r w:rsidRPr="00C312DC">
          <w:rPr>
            <w:rFonts w:eastAsia="Times New Roman" w:cs="Arial"/>
            <w:color w:val="000000" w:themeColor="text1"/>
            <w:sz w:val="18"/>
            <w:szCs w:val="18"/>
          </w:rPr>
          <w:t>Liao P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8" w:history="1">
        <w:r w:rsidRPr="00C312DC">
          <w:rPr>
            <w:rFonts w:eastAsia="Times New Roman" w:cs="Arial"/>
            <w:color w:val="000000" w:themeColor="text1"/>
            <w:sz w:val="18"/>
            <w:szCs w:val="18"/>
          </w:rPr>
          <w:t>Stetson L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19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Couce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M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20" w:history="1">
        <w:r w:rsidRPr="00C312DC">
          <w:rPr>
            <w:rFonts w:eastAsia="Times New Roman" w:cs="Arial"/>
            <w:color w:val="000000" w:themeColor="text1"/>
            <w:sz w:val="18"/>
            <w:szCs w:val="18"/>
          </w:rPr>
          <w:t>Sloan AE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21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Barnholtz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-Sloan JS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>.</w:t>
      </w:r>
      <w:r w:rsidRPr="00716E1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</w:t>
      </w:r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Brain tumor </w:t>
      </w:r>
      <w:proofErr w:type="spellStart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biobanking</w:t>
      </w:r>
      <w:proofErr w:type="spellEnd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in the precision medicine era: building a high-quality resource for translational research in neuro-oncology.</w:t>
      </w:r>
      <w:r w:rsidRPr="00716E1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</w:t>
      </w:r>
      <w:hyperlink r:id="rId22" w:tooltip="Neuro-oncology practice." w:history="1">
        <w:proofErr w:type="spellStart"/>
        <w:r w:rsidRPr="00716E1C">
          <w:rPr>
            <w:rFonts w:cs="Arial"/>
            <w:color w:val="000000" w:themeColor="text1"/>
            <w:sz w:val="18"/>
            <w:szCs w:val="18"/>
          </w:rPr>
          <w:t>Neurooncol</w:t>
        </w:r>
        <w:proofErr w:type="spellEnd"/>
        <w:r w:rsidRPr="00716E1C">
          <w:rPr>
            <w:rFonts w:cs="Arial"/>
            <w:color w:val="000000" w:themeColor="text1"/>
            <w:sz w:val="18"/>
            <w:szCs w:val="18"/>
          </w:rPr>
          <w:t xml:space="preserve"> </w:t>
        </w:r>
        <w:proofErr w:type="spellStart"/>
        <w:r w:rsidRPr="00716E1C">
          <w:rPr>
            <w:rFonts w:cs="Arial"/>
            <w:color w:val="000000" w:themeColor="text1"/>
            <w:sz w:val="18"/>
            <w:szCs w:val="18"/>
          </w:rPr>
          <w:t>Pract</w:t>
        </w:r>
        <w:proofErr w:type="spellEnd"/>
        <w:r w:rsidRPr="00716E1C">
          <w:rPr>
            <w:rFonts w:cs="Arial"/>
            <w:color w:val="000000" w:themeColor="text1"/>
            <w:sz w:val="18"/>
            <w:szCs w:val="18"/>
          </w:rPr>
          <w:t>.</w:t>
        </w:r>
      </w:hyperlink>
      <w:r w:rsidRPr="00716E1C">
        <w:rPr>
          <w:rFonts w:cs="Arial"/>
          <w:color w:val="000000" w:themeColor="text1"/>
          <w:sz w:val="18"/>
          <w:szCs w:val="18"/>
        </w:rPr>
        <w:t xml:space="preserve"> 2017; 4(4):220-228</w:t>
      </w:r>
      <w:r w:rsidRPr="00716E1C">
        <w:rPr>
          <w:rFonts w:cs="Arial"/>
          <w:color w:val="000000" w:themeColor="text1"/>
          <w:sz w:val="18"/>
          <w:szCs w:val="18"/>
        </w:rPr>
        <w:t>.</w:t>
      </w:r>
      <w:r w:rsidRPr="00716E1C">
        <w:rPr>
          <w:sz w:val="18"/>
        </w:rPr>
        <w:t xml:space="preserve">   </w:t>
      </w:r>
    </w:p>
    <w:p w:rsidR="005973B9" w:rsidRPr="00716E1C" w:rsidRDefault="00716E1C" w:rsidP="00716E1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left="389" w:right="144" w:hanging="288"/>
        <w:jc w:val="left"/>
        <w:rPr>
          <w:sz w:val="18"/>
        </w:rPr>
      </w:pPr>
      <w:hyperlink r:id="rId23" w:history="1">
        <w:r>
          <w:rPr>
            <w:rFonts w:eastAsia="Times New Roman" w:cs="Arial"/>
            <w:color w:val="000000" w:themeColor="text1"/>
            <w:sz w:val="18"/>
            <w:szCs w:val="18"/>
          </w:rPr>
          <w:t xml:space="preserve">Vaught </w:t>
        </w:r>
        <w:r w:rsidRPr="00C312DC">
          <w:rPr>
            <w:rFonts w:eastAsia="Times New Roman" w:cs="Arial"/>
            <w:color w:val="000000" w:themeColor="text1"/>
            <w:sz w:val="18"/>
            <w:szCs w:val="18"/>
          </w:rPr>
          <w:t>J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>.</w:t>
      </w:r>
      <w:r>
        <w:rPr>
          <w:rFonts w:eastAsia="Times New Roman" w:cs="Arial"/>
          <w:color w:val="000000" w:themeColor="text1"/>
          <w:sz w:val="18"/>
          <w:szCs w:val="18"/>
        </w:rPr>
        <w:t xml:space="preserve">  </w:t>
      </w:r>
      <w:proofErr w:type="spellStart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Biobanking</w:t>
      </w:r>
      <w:proofErr w:type="spellEnd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Comes of Age: The Transition to </w:t>
      </w:r>
      <w:proofErr w:type="spellStart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Biospecimen</w:t>
      </w:r>
      <w:proofErr w:type="spellEnd"/>
      <w:r w:rsidRPr="00C312D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Science</w:t>
      </w:r>
      <w:r w:rsidRPr="00716E1C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. </w:t>
      </w:r>
      <w:hyperlink r:id="rId24" w:tooltip="Annual review of pharmacology and toxicology." w:history="1"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Annu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Rev </w:t>
        </w:r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Pharmacol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 xml:space="preserve"> </w:t>
        </w:r>
        <w:proofErr w:type="spellStart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Toxicol</w:t>
        </w:r>
        <w:proofErr w:type="spellEnd"/>
        <w:r w:rsidRPr="00C312DC">
          <w:rPr>
            <w:rFonts w:eastAsia="Times New Roman" w:cs="Arial"/>
            <w:color w:val="000000" w:themeColor="text1"/>
            <w:sz w:val="18"/>
            <w:szCs w:val="18"/>
          </w:rPr>
          <w:t>.</w:t>
        </w:r>
      </w:hyperlink>
      <w:r w:rsidRPr="00C312DC">
        <w:rPr>
          <w:rFonts w:eastAsia="Times New Roman" w:cs="Arial"/>
          <w:color w:val="000000" w:themeColor="text1"/>
          <w:sz w:val="18"/>
          <w:szCs w:val="18"/>
        </w:rPr>
        <w:t xml:space="preserve"> 2016</w:t>
      </w:r>
      <w:proofErr w:type="gramStart"/>
      <w:r w:rsidRPr="00C312DC">
        <w:rPr>
          <w:rFonts w:eastAsia="Times New Roman" w:cs="Arial"/>
          <w:color w:val="000000" w:themeColor="text1"/>
          <w:sz w:val="18"/>
          <w:szCs w:val="18"/>
        </w:rPr>
        <w:t>;56:211</w:t>
      </w:r>
      <w:proofErr w:type="gramEnd"/>
      <w:r w:rsidRPr="00C312DC">
        <w:rPr>
          <w:rFonts w:eastAsia="Times New Roman" w:cs="Arial"/>
          <w:color w:val="000000" w:themeColor="text1"/>
          <w:sz w:val="18"/>
          <w:szCs w:val="18"/>
        </w:rPr>
        <w:t>-2</w:t>
      </w:r>
      <w:r w:rsidRPr="00716E1C">
        <w:rPr>
          <w:rFonts w:eastAsia="Times New Roman" w:cs="Arial"/>
          <w:color w:val="000000" w:themeColor="text1"/>
          <w:sz w:val="18"/>
          <w:szCs w:val="18"/>
        </w:rPr>
        <w:t>8.</w:t>
      </w:r>
      <w:r w:rsidRPr="00716E1C">
        <w:rPr>
          <w:sz w:val="18"/>
        </w:rPr>
        <w:t xml:space="preserve"> </w:t>
      </w:r>
      <w:r w:rsidR="005161C4" w:rsidRPr="00716E1C">
        <w:rPr>
          <w:sz w:val="18"/>
        </w:rPr>
        <w:t xml:space="preserve"> </w:t>
      </w:r>
      <w:r w:rsidRPr="00716E1C">
        <w:rPr>
          <w:sz w:val="18"/>
        </w:rPr>
        <w:t xml:space="preserve">  </w:t>
      </w:r>
      <w:r w:rsidR="005161C4" w:rsidRPr="00716E1C">
        <w:rPr>
          <w:sz w:val="18"/>
        </w:rPr>
        <w:t xml:space="preserve"> </w:t>
      </w:r>
    </w:p>
    <w:p w:rsidR="005973B9" w:rsidRPr="00716E1C" w:rsidRDefault="00866AB9" w:rsidP="00866A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 </w:t>
      </w:r>
      <w:hyperlink r:id="rId25" w:history="1">
        <w:r w:rsidRPr="00F174D0">
          <w:rPr>
            <w:rFonts w:eastAsia="Times New Roman" w:cs="Arial"/>
            <w:color w:val="000000" w:themeColor="text1"/>
            <w:sz w:val="18"/>
            <w:szCs w:val="18"/>
          </w:rPr>
          <w:t>Pauli C</w:t>
        </w:r>
      </w:hyperlink>
      <w:r w:rsidRPr="00F174D0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26" w:history="1">
        <w:proofErr w:type="spellStart"/>
        <w:r w:rsidRPr="00F174D0">
          <w:rPr>
            <w:rFonts w:eastAsia="Times New Roman" w:cs="Arial"/>
            <w:color w:val="000000" w:themeColor="text1"/>
            <w:sz w:val="18"/>
            <w:szCs w:val="18"/>
          </w:rPr>
          <w:t>Moch</w:t>
        </w:r>
        <w:proofErr w:type="spellEnd"/>
        <w:r w:rsidRPr="00F174D0">
          <w:rPr>
            <w:rFonts w:eastAsia="Times New Roman" w:cs="Arial"/>
            <w:color w:val="000000" w:themeColor="text1"/>
            <w:sz w:val="18"/>
            <w:szCs w:val="18"/>
          </w:rPr>
          <w:t xml:space="preserve"> H</w:t>
        </w:r>
      </w:hyperlink>
      <w:r w:rsidRPr="00F174D0">
        <w:rPr>
          <w:rFonts w:eastAsia="Times New Roman" w:cs="Arial"/>
          <w:color w:val="000000" w:themeColor="text1"/>
          <w:sz w:val="18"/>
          <w:szCs w:val="18"/>
        </w:rPr>
        <w:t xml:space="preserve">, </w:t>
      </w:r>
      <w:hyperlink r:id="rId27" w:history="1">
        <w:r w:rsidRPr="00F174D0">
          <w:rPr>
            <w:rFonts w:eastAsia="Times New Roman" w:cs="Arial"/>
            <w:color w:val="000000" w:themeColor="text1"/>
            <w:sz w:val="18"/>
            <w:szCs w:val="18"/>
          </w:rPr>
          <w:t>Rubin MA</w:t>
        </w:r>
      </w:hyperlink>
      <w:r w:rsidRPr="00F174D0">
        <w:rPr>
          <w:rFonts w:eastAsia="Times New Roman" w:cs="Arial"/>
          <w:color w:val="000000" w:themeColor="text1"/>
          <w:sz w:val="18"/>
          <w:szCs w:val="18"/>
        </w:rPr>
        <w:t>.</w:t>
      </w:r>
      <w:r w:rsidRPr="00F174D0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Establishment of a living </w:t>
      </w:r>
      <w:proofErr w:type="gramStart"/>
      <w:r w:rsidRPr="00F174D0">
        <w:rPr>
          <w:rFonts w:eastAsia="Times New Roman" w:cs="Arial"/>
          <w:bCs/>
          <w:color w:val="000000" w:themeColor="text1"/>
          <w:kern w:val="36"/>
          <w:sz w:val="18"/>
          <w:szCs w:val="18"/>
        </w:rPr>
        <w:t>biobank :</w:t>
      </w:r>
      <w:proofErr w:type="gramEnd"/>
      <w:r w:rsidRPr="00F174D0">
        <w:rPr>
          <w:rFonts w:eastAsia="Times New Roman" w:cs="Arial"/>
          <w:bCs/>
          <w:color w:val="000000" w:themeColor="text1"/>
          <w:kern w:val="36"/>
          <w:sz w:val="18"/>
          <w:szCs w:val="18"/>
        </w:rPr>
        <w:t xml:space="preserve"> Improved guidance of precision cancer care with in vitro and in vivo cancer models.  </w:t>
      </w:r>
      <w:hyperlink r:id="rId28" w:tooltip="Der Pathologe." w:history="1">
        <w:proofErr w:type="spellStart"/>
        <w:r w:rsidRPr="00F174D0">
          <w:rPr>
            <w:rFonts w:eastAsia="Times New Roman" w:cs="Arial"/>
            <w:color w:val="000000" w:themeColor="text1"/>
            <w:sz w:val="18"/>
            <w:szCs w:val="18"/>
          </w:rPr>
          <w:t>Pathologe</w:t>
        </w:r>
        <w:proofErr w:type="spellEnd"/>
        <w:r w:rsidRPr="00F174D0">
          <w:rPr>
            <w:rFonts w:eastAsia="Times New Roman" w:cs="Arial"/>
            <w:color w:val="000000" w:themeColor="text1"/>
            <w:sz w:val="18"/>
            <w:szCs w:val="18"/>
          </w:rPr>
          <w:t>.</w:t>
        </w:r>
      </w:hyperlink>
      <w:r>
        <w:rPr>
          <w:rFonts w:eastAsia="Times New Roman" w:cs="Arial"/>
          <w:color w:val="000000" w:themeColor="text1"/>
          <w:sz w:val="18"/>
          <w:szCs w:val="18"/>
        </w:rPr>
        <w:t xml:space="preserve"> 2017</w:t>
      </w:r>
      <w:proofErr w:type="gramStart"/>
      <w:r w:rsidRPr="00F174D0">
        <w:rPr>
          <w:rFonts w:eastAsia="Times New Roman" w:cs="Arial"/>
          <w:color w:val="000000" w:themeColor="text1"/>
          <w:sz w:val="18"/>
          <w:szCs w:val="18"/>
        </w:rPr>
        <w:t>;38</w:t>
      </w:r>
      <w:proofErr w:type="gramEnd"/>
      <w:r w:rsidRPr="00F174D0">
        <w:rPr>
          <w:rFonts w:eastAsia="Times New Roman" w:cs="Arial"/>
          <w:color w:val="000000" w:themeColor="text1"/>
          <w:sz w:val="18"/>
          <w:szCs w:val="18"/>
        </w:rPr>
        <w:t>(</w:t>
      </w:r>
      <w:proofErr w:type="spellStart"/>
      <w:r w:rsidRPr="00F174D0">
        <w:rPr>
          <w:rFonts w:eastAsia="Times New Roman" w:cs="Arial"/>
          <w:color w:val="000000" w:themeColor="text1"/>
          <w:sz w:val="18"/>
          <w:szCs w:val="18"/>
        </w:rPr>
        <w:t>Suppl</w:t>
      </w:r>
      <w:proofErr w:type="spellEnd"/>
      <w:r w:rsidRPr="00F174D0">
        <w:rPr>
          <w:rFonts w:eastAsia="Times New Roman" w:cs="Arial"/>
          <w:color w:val="000000" w:themeColor="text1"/>
          <w:sz w:val="18"/>
          <w:szCs w:val="18"/>
        </w:rPr>
        <w:t xml:space="preserve"> 2):160-168</w:t>
      </w:r>
      <w:r>
        <w:rPr>
          <w:sz w:val="18"/>
        </w:rPr>
        <w:t>.</w:t>
      </w:r>
    </w:p>
    <w:p w:rsidR="0056591B" w:rsidRPr="00716E1C" w:rsidRDefault="0056591B" w:rsidP="0056591B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716E1C">
        <w:rPr>
          <w:rFonts w:ascii="Calibri" w:hAnsi="Calibri"/>
        </w:rPr>
        <w:t xml:space="preserve">Check W. </w:t>
      </w:r>
      <w:hyperlink r:id="rId29" w:history="1">
        <w:r w:rsidRPr="00716E1C">
          <w:rPr>
            <w:rStyle w:val="Hyperlink"/>
            <w:rFonts w:ascii="Calibri" w:hAnsi="Calibri"/>
          </w:rPr>
          <w:t>http://www.captodayonline.com/pharmacogenomics-advocates-make-case-wider-use/</w:t>
        </w:r>
      </w:hyperlink>
      <w:r w:rsidRPr="00716E1C"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23A77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F04C2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Stephanie C. Tanner, MD is a board certified pathologist and Medical Director of the Biobank at the University of Mississippi Medical Center.  She is also a faculty member in the Department of Cell and Molecular </w:t>
      </w:r>
      <w:proofErr w:type="gramStart"/>
      <w:r>
        <w:rPr>
          <w:rFonts w:ascii="Arial"/>
          <w:sz w:val="14"/>
        </w:rPr>
        <w:t xml:space="preserve">Biology </w:t>
      </w:r>
      <w:r w:rsidR="00A9710C">
        <w:rPr>
          <w:rFonts w:ascii="Arial"/>
          <w:sz w:val="14"/>
        </w:rPr>
        <w:t>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30" w:history="1">
        <w:r w:rsidR="009A6093" w:rsidRPr="004F0F11">
          <w:rPr>
            <w:rStyle w:val="Hyperlink"/>
            <w:rFonts w:ascii="Arial"/>
            <w:sz w:val="14"/>
          </w:rPr>
          <w:t>rsummers@umc.edu</w:t>
        </w:r>
      </w:hyperlink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5161C4" w:rsidRDefault="005161C4">
      <w:pPr>
        <w:pStyle w:val="BodyText"/>
        <w:spacing w:before="3"/>
        <w:rPr>
          <w:rFonts w:ascii="Minion Pro"/>
          <w:sz w:val="26"/>
        </w:rPr>
      </w:pPr>
    </w:p>
    <w:p w:rsidR="005161C4" w:rsidRDefault="005161C4">
      <w:pPr>
        <w:pStyle w:val="BodyText"/>
        <w:spacing w:before="3"/>
        <w:rPr>
          <w:rFonts w:ascii="Minion Pro"/>
          <w:sz w:val="26"/>
        </w:rPr>
      </w:pPr>
    </w:p>
    <w:sectPr w:rsidR="005161C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158" w:rsidRDefault="00CE5158">
      <w:r>
        <w:separator/>
      </w:r>
    </w:p>
  </w:endnote>
  <w:endnote w:type="continuationSeparator" w:id="0">
    <w:p w:rsidR="00CE5158" w:rsidRDefault="00CE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158" w:rsidRDefault="00CE5158">
      <w:r>
        <w:separator/>
      </w:r>
    </w:p>
  </w:footnote>
  <w:footnote w:type="continuationSeparator" w:id="0">
    <w:p w:rsidR="00CE5158" w:rsidRDefault="00CE5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2DB8"/>
    <w:rsid w:val="000E2911"/>
    <w:rsid w:val="001263DF"/>
    <w:rsid w:val="0019398D"/>
    <w:rsid w:val="002035CF"/>
    <w:rsid w:val="00271F8F"/>
    <w:rsid w:val="00292ED9"/>
    <w:rsid w:val="002B339E"/>
    <w:rsid w:val="00356B66"/>
    <w:rsid w:val="003A6553"/>
    <w:rsid w:val="003D1072"/>
    <w:rsid w:val="003E1E3A"/>
    <w:rsid w:val="003E34F2"/>
    <w:rsid w:val="00400AE5"/>
    <w:rsid w:val="00404E5B"/>
    <w:rsid w:val="00414F7B"/>
    <w:rsid w:val="004355DC"/>
    <w:rsid w:val="004749B4"/>
    <w:rsid w:val="00485DAE"/>
    <w:rsid w:val="00494130"/>
    <w:rsid w:val="004A54E9"/>
    <w:rsid w:val="004F3523"/>
    <w:rsid w:val="005161C4"/>
    <w:rsid w:val="0056591B"/>
    <w:rsid w:val="00567FA6"/>
    <w:rsid w:val="00587885"/>
    <w:rsid w:val="005973B9"/>
    <w:rsid w:val="005B3A56"/>
    <w:rsid w:val="006060CE"/>
    <w:rsid w:val="0063497F"/>
    <w:rsid w:val="00647EDF"/>
    <w:rsid w:val="006844F7"/>
    <w:rsid w:val="00695911"/>
    <w:rsid w:val="006D3628"/>
    <w:rsid w:val="006F1990"/>
    <w:rsid w:val="00716E1C"/>
    <w:rsid w:val="0078209E"/>
    <w:rsid w:val="00866AB9"/>
    <w:rsid w:val="00873DF0"/>
    <w:rsid w:val="008756E6"/>
    <w:rsid w:val="008775DD"/>
    <w:rsid w:val="008B38D7"/>
    <w:rsid w:val="008D5C01"/>
    <w:rsid w:val="009A6093"/>
    <w:rsid w:val="009B2D44"/>
    <w:rsid w:val="009C6E7F"/>
    <w:rsid w:val="00A07E82"/>
    <w:rsid w:val="00A81936"/>
    <w:rsid w:val="00A9710C"/>
    <w:rsid w:val="00AA5907"/>
    <w:rsid w:val="00AE3E37"/>
    <w:rsid w:val="00B21A57"/>
    <w:rsid w:val="00B4573F"/>
    <w:rsid w:val="00BD5F6A"/>
    <w:rsid w:val="00C33602"/>
    <w:rsid w:val="00C46C1C"/>
    <w:rsid w:val="00C65B8D"/>
    <w:rsid w:val="00CD6F55"/>
    <w:rsid w:val="00CE5158"/>
    <w:rsid w:val="00DE3104"/>
    <w:rsid w:val="00DF61ED"/>
    <w:rsid w:val="00E35F00"/>
    <w:rsid w:val="00E55BC8"/>
    <w:rsid w:val="00EE173B"/>
    <w:rsid w:val="00F01B88"/>
    <w:rsid w:val="00F04C2A"/>
    <w:rsid w:val="00F72EEA"/>
    <w:rsid w:val="00F84CAE"/>
    <w:rsid w:val="00FC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3D235F-2E7B-4205-B740-7804302F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0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713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0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018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14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Ostrom%20QT%5BAuthor%5D&amp;cauthor=true&amp;cauthor_uid=29692920" TargetMode="External"/><Relationship Id="rId18" Type="http://schemas.openxmlformats.org/officeDocument/2006/relationships/hyperlink" Target="https://www.ncbi.nlm.nih.gov/pubmed/?term=Stetson%20L%5BAuthor%5D&amp;cauthor=true&amp;cauthor_uid=29692920" TargetMode="External"/><Relationship Id="rId26" Type="http://schemas.openxmlformats.org/officeDocument/2006/relationships/hyperlink" Target="https://www.ncbi.nlm.nih.gov/pubmed/?term=Moch%20H%5BAuthor%5D&amp;cauthor=true&amp;cauthor_uid=289561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Barnholtz-Sloan%20JS%5BAuthor%5D&amp;cauthor=true&amp;cauthor_uid=29692920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6420610" TargetMode="External"/><Relationship Id="rId17" Type="http://schemas.openxmlformats.org/officeDocument/2006/relationships/hyperlink" Target="https://www.ncbi.nlm.nih.gov/pubmed/?term=Liao%20P%5BAuthor%5D&amp;cauthor=true&amp;cauthor_uid=29692920" TargetMode="External"/><Relationship Id="rId25" Type="http://schemas.openxmlformats.org/officeDocument/2006/relationships/hyperlink" Target="https://www.ncbi.nlm.nih.gov/pubmed/?term=Pauli%20C%5BAuthor%5D&amp;cauthor=true&amp;cauthor_uid=2895610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Wolinsky%20Y%5BAuthor%5D&amp;cauthor=true&amp;cauthor_uid=29692920" TargetMode="External"/><Relationship Id="rId20" Type="http://schemas.openxmlformats.org/officeDocument/2006/relationships/hyperlink" Target="https://www.ncbi.nlm.nih.gov/pubmed/?term=Sloan%20AE%5BAuthor%5D&amp;cauthor=true&amp;cauthor_uid=29692920" TargetMode="External"/><Relationship Id="rId29" Type="http://schemas.openxmlformats.org/officeDocument/2006/relationships/hyperlink" Target="http://www.captodayonline.com/pharmacogenomics-advocates-make-case-wider-us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Somiari%20RI%5BAuthor%5D&amp;cauthor=true&amp;cauthor_uid=26420610" TargetMode="External"/><Relationship Id="rId24" Type="http://schemas.openxmlformats.org/officeDocument/2006/relationships/hyperlink" Target="https://www.ncbi.nlm.nih.gov/pubmed/26514206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Fulop%20J%5BAuthor%5D&amp;cauthor=true&amp;cauthor_uid=29692920" TargetMode="External"/><Relationship Id="rId23" Type="http://schemas.openxmlformats.org/officeDocument/2006/relationships/hyperlink" Target="https://www.ncbi.nlm.nih.gov/pubmed/?term=Vaught%20J%5BAuthor%5D&amp;cauthor=true&amp;cauthor_uid=26514206" TargetMode="External"/><Relationship Id="rId28" Type="http://schemas.openxmlformats.org/officeDocument/2006/relationships/hyperlink" Target="https://www.ncbi.nlm.nih.gov/pubmed/28956107" TargetMode="External"/><Relationship Id="rId10" Type="http://schemas.openxmlformats.org/officeDocument/2006/relationships/hyperlink" Target="https://www.ncbi.nlm.nih.gov/pubmed/?term=Somiari%20SB%5BAuthor%5D&amp;cauthor=true&amp;cauthor_uid=26420610" TargetMode="External"/><Relationship Id="rId19" Type="http://schemas.openxmlformats.org/officeDocument/2006/relationships/hyperlink" Target="https://www.ncbi.nlm.nih.gov/pubmed/?term=Couce%20M%5BAuthor%5D&amp;cauthor=true&amp;cauthor_uid=2969292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s://www.ncbi.nlm.nih.gov/pubmed/?term=Devine%20K%5BAuthor%5D&amp;cauthor=true&amp;cauthor_uid=29692920" TargetMode="External"/><Relationship Id="rId22" Type="http://schemas.openxmlformats.org/officeDocument/2006/relationships/hyperlink" Target="https://www.ncbi.nlm.nih.gov/pubmed/29692920" TargetMode="External"/><Relationship Id="rId27" Type="http://schemas.openxmlformats.org/officeDocument/2006/relationships/hyperlink" Target="https://www.ncbi.nlm.nih.gov/pubmed/?term=Rubin%20MA%5BAuthor%5D&amp;cauthor=true&amp;cauthor_uid=28956107" TargetMode="External"/><Relationship Id="rId30" Type="http://schemas.openxmlformats.org/officeDocument/2006/relationships/hyperlink" Target="mailto:rsummers@umc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Richard L. Summers</cp:lastModifiedBy>
  <cp:revision>38</cp:revision>
  <dcterms:created xsi:type="dcterms:W3CDTF">2018-05-29T12:59:00Z</dcterms:created>
  <dcterms:modified xsi:type="dcterms:W3CDTF">2018-05-29T17:56:00Z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