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99E" w:rsidRDefault="0065492B" w:rsidP="0065492B">
      <w:pPr>
        <w:jc w:val="both"/>
        <w:rPr>
          <w:rFonts w:asciiTheme="majorBidi" w:eastAsia="Droid Sans Fallback" w:hAnsiTheme="majorBidi" w:cstheme="majorBidi"/>
          <w:color w:val="00000A"/>
          <w:sz w:val="36"/>
          <w:szCs w:val="36"/>
        </w:rPr>
      </w:pPr>
      <w:r w:rsidRPr="0065492B">
        <w:rPr>
          <w:rFonts w:asciiTheme="majorBidi" w:eastAsia="Droid Sans Fallback" w:hAnsiTheme="majorBidi" w:cstheme="majorBidi"/>
          <w:color w:val="00000A"/>
          <w:sz w:val="36"/>
          <w:szCs w:val="36"/>
        </w:rPr>
        <w:t>Evaluating protective</w:t>
      </w:r>
      <w:r w:rsidRPr="0065492B">
        <w:rPr>
          <w:rFonts w:asciiTheme="majorBidi" w:eastAsia="Droid Sans Fallback" w:hAnsiTheme="majorBidi" w:cstheme="majorBidi"/>
          <w:i/>
          <w:iCs/>
          <w:color w:val="00000A"/>
          <w:sz w:val="36"/>
          <w:szCs w:val="36"/>
        </w:rPr>
        <w:t xml:space="preserve"> </w:t>
      </w:r>
      <w:r w:rsidRPr="0065492B">
        <w:rPr>
          <w:rFonts w:asciiTheme="majorBidi" w:eastAsia="Droid Sans Fallback" w:hAnsiTheme="majorBidi" w:cstheme="majorBidi"/>
          <w:color w:val="00000A"/>
          <w:sz w:val="36"/>
          <w:szCs w:val="36"/>
        </w:rPr>
        <w:t xml:space="preserve">effects of </w:t>
      </w:r>
      <w:r w:rsidRPr="0065492B">
        <w:rPr>
          <w:rFonts w:asciiTheme="majorBidi" w:eastAsia="Droid Sans Fallback" w:hAnsiTheme="majorBidi" w:cstheme="majorBidi"/>
          <w:i/>
          <w:iCs/>
          <w:color w:val="00000A"/>
          <w:sz w:val="36"/>
          <w:szCs w:val="36"/>
        </w:rPr>
        <w:t xml:space="preserve">Asperugo </w:t>
      </w:r>
      <w:proofErr w:type="spellStart"/>
      <w:r w:rsidRPr="0065492B">
        <w:rPr>
          <w:rFonts w:asciiTheme="majorBidi" w:eastAsia="Droid Sans Fallback" w:hAnsiTheme="majorBidi" w:cstheme="majorBidi"/>
          <w:i/>
          <w:iCs/>
          <w:color w:val="00000A"/>
          <w:sz w:val="36"/>
          <w:szCs w:val="36"/>
        </w:rPr>
        <w:t>procumbens</w:t>
      </w:r>
      <w:proofErr w:type="spellEnd"/>
      <w:r w:rsidRPr="0065492B">
        <w:rPr>
          <w:rFonts w:asciiTheme="majorBidi" w:eastAsia="Droid Sans Fallback" w:hAnsiTheme="majorBidi" w:cstheme="majorBidi"/>
          <w:i/>
          <w:iCs/>
          <w:color w:val="00000A"/>
          <w:sz w:val="36"/>
          <w:szCs w:val="36"/>
        </w:rPr>
        <w:t>. L</w:t>
      </w:r>
      <w:r w:rsidRPr="0065492B">
        <w:rPr>
          <w:rFonts w:asciiTheme="majorBidi" w:eastAsia="Droid Sans Fallback" w:hAnsiTheme="majorBidi" w:cstheme="majorBidi"/>
          <w:color w:val="00000A"/>
          <w:sz w:val="36"/>
          <w:szCs w:val="36"/>
        </w:rPr>
        <w:t xml:space="preserve"> </w:t>
      </w:r>
      <w:r w:rsidRPr="0065492B">
        <w:rPr>
          <w:rFonts w:asciiTheme="majorBidi" w:eastAsia="Droid Sans Fallback" w:hAnsiTheme="majorBidi" w:cstheme="majorBidi"/>
          <w:color w:val="00000A"/>
          <w:sz w:val="40"/>
          <w:szCs w:val="40"/>
          <w:lang w:bidi="fa-IR"/>
        </w:rPr>
        <w:t xml:space="preserve"> </w:t>
      </w:r>
      <w:r w:rsidRPr="0065492B">
        <w:rPr>
          <w:rFonts w:asciiTheme="majorBidi" w:eastAsia="Droid Sans Fallback" w:hAnsiTheme="majorBidi" w:cstheme="majorBidi"/>
          <w:color w:val="00000A"/>
          <w:sz w:val="36"/>
          <w:szCs w:val="36"/>
        </w:rPr>
        <w:t xml:space="preserve"> on hepatocellular carcinoma in rats.</w:t>
      </w:r>
    </w:p>
    <w:p w:rsidR="0065492B" w:rsidRDefault="0025012D" w:rsidP="0025012D">
      <w:pPr>
        <w:jc w:val="both"/>
        <w:rPr>
          <w:rFonts w:asciiTheme="majorBidi" w:eastAsia="Droid Sans Fallback" w:hAnsiTheme="majorBidi" w:cstheme="majorBidi"/>
          <w:color w:val="00000A"/>
        </w:rPr>
      </w:pPr>
      <w:proofErr w:type="spellStart"/>
      <w:r>
        <w:rPr>
          <w:rFonts w:asciiTheme="majorBidi" w:eastAsia="Droid Sans Fallback" w:hAnsiTheme="majorBidi" w:cstheme="majorBidi"/>
          <w:color w:val="00000A"/>
        </w:rPr>
        <w:t>Mahsa</w:t>
      </w:r>
      <w:proofErr w:type="spellEnd"/>
      <w:r>
        <w:rPr>
          <w:rFonts w:asciiTheme="majorBidi" w:eastAsia="Droid Sans Fallback" w:hAnsiTheme="majorBidi" w:cstheme="majorBidi"/>
          <w:color w:val="00000A"/>
        </w:rPr>
        <w:t xml:space="preserve"> </w:t>
      </w:r>
      <w:proofErr w:type="spellStart"/>
      <w:r>
        <w:rPr>
          <w:rFonts w:asciiTheme="majorBidi" w:eastAsia="Droid Sans Fallback" w:hAnsiTheme="majorBidi" w:cstheme="majorBidi"/>
          <w:color w:val="00000A"/>
        </w:rPr>
        <w:t>hosni</w:t>
      </w:r>
      <w:proofErr w:type="gramStart"/>
      <w:r>
        <w:rPr>
          <w:rFonts w:asciiTheme="majorBidi" w:eastAsia="Droid Sans Fallback" w:hAnsiTheme="majorBidi" w:cstheme="majorBidi"/>
          <w:color w:val="00000A"/>
        </w:rPr>
        <w:t>,dr</w:t>
      </w:r>
      <w:proofErr w:type="spellEnd"/>
      <w:proofErr w:type="gramEnd"/>
      <w:r>
        <w:rPr>
          <w:rFonts w:asciiTheme="majorBidi" w:eastAsia="Droid Sans Fallback" w:hAnsiTheme="majorBidi" w:cstheme="majorBidi"/>
          <w:color w:val="00000A"/>
        </w:rPr>
        <w:t xml:space="preserve"> of </w:t>
      </w:r>
      <w:proofErr w:type="spellStart"/>
      <w:r>
        <w:rPr>
          <w:rFonts w:asciiTheme="majorBidi" w:eastAsia="Droid Sans Fallback" w:hAnsiTheme="majorBidi" w:cstheme="majorBidi"/>
          <w:color w:val="00000A"/>
        </w:rPr>
        <w:t>pharmacy,zanjan</w:t>
      </w:r>
      <w:proofErr w:type="spellEnd"/>
      <w:r>
        <w:rPr>
          <w:rFonts w:asciiTheme="majorBidi" w:eastAsia="Droid Sans Fallback" w:hAnsiTheme="majorBidi" w:cstheme="majorBidi"/>
          <w:color w:val="00000A"/>
        </w:rPr>
        <w:t xml:space="preserve"> university of medical </w:t>
      </w:r>
      <w:proofErr w:type="spellStart"/>
      <w:r>
        <w:rPr>
          <w:rFonts w:asciiTheme="majorBidi" w:eastAsia="Droid Sans Fallback" w:hAnsiTheme="majorBidi" w:cstheme="majorBidi"/>
          <w:color w:val="00000A"/>
        </w:rPr>
        <w:t>sciences,IRI</w:t>
      </w:r>
      <w:proofErr w:type="spellEnd"/>
    </w:p>
    <w:p w:rsidR="00C61F40" w:rsidRPr="0025012D" w:rsidRDefault="00C61F40" w:rsidP="0025012D">
      <w:pPr>
        <w:jc w:val="both"/>
        <w:rPr>
          <w:rFonts w:asciiTheme="majorBidi" w:eastAsia="Droid Sans Fallback" w:hAnsiTheme="majorBidi" w:cstheme="majorBidi"/>
          <w:color w:val="00000A"/>
        </w:rPr>
      </w:pPr>
    </w:p>
    <w:p w:rsidR="0065492B" w:rsidRDefault="0065492B" w:rsidP="0065492B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Abstract</w:t>
      </w:r>
    </w:p>
    <w:p w:rsidR="0065492B" w:rsidRPr="0065492B" w:rsidRDefault="0065492B" w:rsidP="0065492B">
      <w:pPr>
        <w:jc w:val="both"/>
        <w:rPr>
          <w:rFonts w:asciiTheme="majorBidi" w:hAnsiTheme="majorBidi" w:cstheme="majorBidi"/>
          <w:sz w:val="24"/>
          <w:szCs w:val="24"/>
        </w:rPr>
      </w:pPr>
      <w:r w:rsidRPr="0065492B">
        <w:rPr>
          <w:rFonts w:asciiTheme="majorBidi" w:hAnsiTheme="majorBidi" w:cstheme="majorBidi"/>
          <w:i/>
          <w:iCs/>
          <w:sz w:val="24"/>
          <w:szCs w:val="24"/>
        </w:rPr>
        <w:t xml:space="preserve">Asperugo </w:t>
      </w:r>
      <w:proofErr w:type="spellStart"/>
      <w:r w:rsidRPr="0065492B">
        <w:rPr>
          <w:rFonts w:asciiTheme="majorBidi" w:hAnsiTheme="majorBidi" w:cstheme="majorBidi"/>
          <w:i/>
          <w:iCs/>
          <w:sz w:val="24"/>
          <w:szCs w:val="24"/>
        </w:rPr>
        <w:t>procumbents</w:t>
      </w:r>
      <w:proofErr w:type="spellEnd"/>
      <w:r w:rsidRPr="006549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5492B">
        <w:rPr>
          <w:rFonts w:asciiTheme="majorBidi" w:hAnsiTheme="majorBidi" w:cstheme="majorBidi"/>
          <w:sz w:val="24"/>
          <w:szCs w:val="24"/>
        </w:rPr>
        <w:t xml:space="preserve">L. has been used in Iranian traditional medicine to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thetreatment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of liver diseases. This study evaluated the protective effects of the aqueous extract of </w:t>
      </w:r>
      <w:r w:rsidRPr="0065492B">
        <w:rPr>
          <w:rFonts w:asciiTheme="majorBidi" w:hAnsiTheme="majorBidi" w:cstheme="majorBidi"/>
          <w:i/>
          <w:iCs/>
          <w:sz w:val="24"/>
          <w:szCs w:val="24"/>
        </w:rPr>
        <w:t xml:space="preserve">Asperugo </w:t>
      </w:r>
      <w:proofErr w:type="spellStart"/>
      <w:r w:rsidRPr="0065492B">
        <w:rPr>
          <w:rFonts w:asciiTheme="majorBidi" w:hAnsiTheme="majorBidi" w:cstheme="majorBidi"/>
          <w:i/>
          <w:iCs/>
          <w:sz w:val="24"/>
          <w:szCs w:val="24"/>
        </w:rPr>
        <w:t>procumbents</w:t>
      </w:r>
      <w:proofErr w:type="spellEnd"/>
      <w:r w:rsidRPr="006549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5492B">
        <w:rPr>
          <w:rFonts w:asciiTheme="majorBidi" w:hAnsiTheme="majorBidi" w:cstheme="majorBidi"/>
          <w:sz w:val="24"/>
          <w:szCs w:val="24"/>
        </w:rPr>
        <w:t xml:space="preserve">L. (AAP) against hepatocellular carcinoma (HCC) induced by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diethylnitrosamine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(DEN) in male Sprague-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Dawley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rats. HCC was induced in male rats according to the accepted protocol. Briefly, DEN was used as the initiator and 2-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Acetylaminofluorene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(2-AAF) as the promoter of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hepatocarcinogenesis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. Firstly animals fasted 96 hours and then re-fed as mitotic proliferative stimuli. After 24 hours re-feeding, rats were injected a single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intraperitoneal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i.p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.) dose of DEN (200 mg/kg body weight). Two weeks after DEN injection, rats received 14 daily oral dose of 2-AAF (30 mg/kg) for promoting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hepatocarcinogenesis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. AAP-treated rats received the extract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intragastrically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at three dose of 100, 200 and400 mg/kg body weight two weeks before the administration of DEN and continued until 8weeks. A significant decrease in serum markers of liver damage and hepatic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carcinoma</w:t>
      </w:r>
      <w:proofErr w:type="gramStart"/>
      <w:r w:rsidRPr="0065492B">
        <w:rPr>
          <w:rFonts w:asciiTheme="majorBidi" w:hAnsiTheme="majorBidi" w:cstheme="majorBidi"/>
          <w:sz w:val="24"/>
          <w:szCs w:val="24"/>
        </w:rPr>
        <w:t>,including</w:t>
      </w:r>
      <w:proofErr w:type="spellEnd"/>
      <w:proofErr w:type="gramEnd"/>
      <w:r w:rsidRPr="006549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alfa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-fetoprotein (AFP), gamma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glutamyltranspeptidase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(GGT),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alaninetransaminase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(ALT), and aspartate transaminase (AST) were observed in AAP supplemented animals when compared to DEN-treated rats. In addition, AAP counteracted DEN-induced oxidative stress in rats illustrated by the restoration of reduced glutathione (GSH) and the reduction of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malondialdehyde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(MDA) levels in the liver. The results of morphological and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histopathological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staining of rat liver showed that AAP-treated animals have an almost normal histological architecture compared to HCC group. The present </w:t>
      </w:r>
      <w:r w:rsidRPr="0065492B">
        <w:rPr>
          <w:rFonts w:asciiTheme="majorBidi" w:hAnsiTheme="majorBidi" w:cstheme="majorBidi"/>
          <w:sz w:val="24"/>
          <w:szCs w:val="24"/>
        </w:rPr>
        <w:lastRenderedPageBreak/>
        <w:t xml:space="preserve">study provides evidence that </w:t>
      </w:r>
      <w:r w:rsidRPr="0065492B">
        <w:rPr>
          <w:rFonts w:asciiTheme="majorBidi" w:hAnsiTheme="majorBidi" w:cstheme="majorBidi"/>
          <w:i/>
          <w:iCs/>
          <w:sz w:val="24"/>
          <w:szCs w:val="24"/>
        </w:rPr>
        <w:t xml:space="preserve">Asperugo </w:t>
      </w:r>
      <w:proofErr w:type="spellStart"/>
      <w:r w:rsidRPr="0065492B">
        <w:rPr>
          <w:rFonts w:asciiTheme="majorBidi" w:hAnsiTheme="majorBidi" w:cstheme="majorBidi"/>
          <w:i/>
          <w:iCs/>
          <w:sz w:val="24"/>
          <w:szCs w:val="24"/>
        </w:rPr>
        <w:t>procumbents</w:t>
      </w:r>
      <w:proofErr w:type="spellEnd"/>
      <w:r w:rsidRPr="006549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5492B">
        <w:rPr>
          <w:rFonts w:asciiTheme="majorBidi" w:hAnsiTheme="majorBidi" w:cstheme="majorBidi"/>
          <w:sz w:val="24"/>
          <w:szCs w:val="24"/>
        </w:rPr>
        <w:t xml:space="preserve">L. has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apotential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5492B">
        <w:rPr>
          <w:rFonts w:asciiTheme="majorBidi" w:hAnsiTheme="majorBidi" w:cstheme="majorBidi"/>
          <w:sz w:val="24"/>
          <w:szCs w:val="24"/>
        </w:rPr>
        <w:t>chemopreventive</w:t>
      </w:r>
      <w:proofErr w:type="spellEnd"/>
      <w:r w:rsidRPr="0065492B">
        <w:rPr>
          <w:rFonts w:asciiTheme="majorBidi" w:hAnsiTheme="majorBidi" w:cstheme="majorBidi"/>
          <w:sz w:val="24"/>
          <w:szCs w:val="24"/>
        </w:rPr>
        <w:t xml:space="preserve"> effect against liver cancer.</w:t>
      </w: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2"/>
          <w:szCs w:val="32"/>
        </w:rPr>
      </w:pPr>
    </w:p>
    <w:p w:rsidR="0065492B" w:rsidRDefault="00300910" w:rsidP="0065492B">
      <w:pPr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2"/>
          <w:szCs w:val="32"/>
        </w:rPr>
        <w:t>I</w:t>
      </w:r>
      <w:r>
        <w:rPr>
          <w:rFonts w:asciiTheme="majorBidi" w:hAnsiTheme="majorBidi" w:cstheme="majorBidi"/>
          <w:sz w:val="36"/>
          <w:szCs w:val="36"/>
        </w:rPr>
        <w:t>mage</w:t>
      </w:r>
    </w:p>
    <w:p w:rsidR="00513260" w:rsidRDefault="00513260" w:rsidP="0065492B">
      <w:pPr>
        <w:jc w:val="both"/>
        <w:rPr>
          <w:rFonts w:asciiTheme="majorBidi" w:hAnsiTheme="majorBidi" w:cstheme="majorBidi"/>
          <w:sz w:val="36"/>
          <w:szCs w:val="36"/>
        </w:rPr>
      </w:pPr>
    </w:p>
    <w:p w:rsidR="00300910" w:rsidRDefault="00C61F40" w:rsidP="0065492B">
      <w:pPr>
        <w:jc w:val="both"/>
        <w:rPr>
          <w:rFonts w:asciiTheme="majorBidi" w:hAnsiTheme="majorBidi" w:cstheme="majorBidi"/>
          <w:sz w:val="36"/>
          <w:szCs w:val="36"/>
        </w:rPr>
      </w:pPr>
      <w:bookmarkStart w:id="0" w:name="_GoBack"/>
      <w:bookmarkEnd w:id="0"/>
      <w:r w:rsidRPr="00C61F40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>
            <wp:extent cx="5362575" cy="5467350"/>
            <wp:effectExtent l="0" t="0" r="9525" b="0"/>
            <wp:docPr id="1" name="Picture 1" descr="C:\Users\mahsahosni\Desktop\abstr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sahosni\Desktop\abstrac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F40" w:rsidRDefault="00C61F40" w:rsidP="0065492B">
      <w:pPr>
        <w:jc w:val="both"/>
        <w:rPr>
          <w:rFonts w:asciiTheme="majorBidi" w:hAnsiTheme="majorBidi" w:cstheme="majorBidi"/>
          <w:sz w:val="36"/>
          <w:szCs w:val="36"/>
        </w:rPr>
      </w:pPr>
    </w:p>
    <w:p w:rsidR="00C61F40" w:rsidRDefault="00C61F40" w:rsidP="0065492B">
      <w:pPr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Recent publications</w:t>
      </w:r>
    </w:p>
    <w:p w:rsidR="00C61F40" w:rsidRDefault="00C61F40" w:rsidP="00C61F40">
      <w:pPr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C61F40">
        <w:rPr>
          <w:rFonts w:asciiTheme="majorBidi" w:hAnsiTheme="majorBidi" w:cstheme="majorBidi"/>
          <w:noProof/>
          <w:sz w:val="24"/>
          <w:szCs w:val="24"/>
        </w:rPr>
        <w:t xml:space="preserve"> </w:t>
      </w:r>
      <w:proofErr w:type="spellStart"/>
      <w:r w:rsidRPr="00C61F40">
        <w:rPr>
          <w:rFonts w:asciiTheme="majorBidi" w:hAnsiTheme="majorBidi" w:cstheme="majorBidi"/>
          <w:sz w:val="24"/>
          <w:szCs w:val="24"/>
        </w:rPr>
        <w:t>Columbano</w:t>
      </w:r>
      <w:proofErr w:type="spellEnd"/>
      <w:r w:rsidRPr="00C61F40">
        <w:rPr>
          <w:rFonts w:asciiTheme="majorBidi" w:hAnsiTheme="majorBidi" w:cstheme="majorBidi"/>
          <w:sz w:val="24"/>
          <w:szCs w:val="24"/>
        </w:rPr>
        <w:t xml:space="preserve"> GM, </w:t>
      </w:r>
      <w:proofErr w:type="spellStart"/>
      <w:r w:rsidRPr="00C61F40">
        <w:rPr>
          <w:rFonts w:asciiTheme="majorBidi" w:hAnsiTheme="majorBidi" w:cstheme="majorBidi"/>
          <w:sz w:val="24"/>
          <w:szCs w:val="24"/>
        </w:rPr>
        <w:t>Coni</w:t>
      </w:r>
      <w:proofErr w:type="spellEnd"/>
      <w:r w:rsidRPr="00C61F40">
        <w:rPr>
          <w:rFonts w:asciiTheme="majorBidi" w:hAnsiTheme="majorBidi" w:cstheme="majorBidi"/>
          <w:sz w:val="24"/>
          <w:szCs w:val="24"/>
        </w:rPr>
        <w:t xml:space="preserve"> P, </w:t>
      </w:r>
      <w:proofErr w:type="spellStart"/>
      <w:r w:rsidRPr="00C61F40">
        <w:rPr>
          <w:rFonts w:asciiTheme="majorBidi" w:hAnsiTheme="majorBidi" w:cstheme="majorBidi"/>
          <w:sz w:val="24"/>
          <w:szCs w:val="24"/>
        </w:rPr>
        <w:t>Curto</w:t>
      </w:r>
      <w:proofErr w:type="spellEnd"/>
      <w:r w:rsidRPr="00C61F40">
        <w:rPr>
          <w:rFonts w:asciiTheme="majorBidi" w:hAnsiTheme="majorBidi" w:cstheme="majorBidi"/>
          <w:sz w:val="24"/>
          <w:szCs w:val="24"/>
        </w:rPr>
        <w:t xml:space="preserve"> M. Induction of two different models of cell death, Apoptosis and necrosis in rat liver after a single dose of </w:t>
      </w:r>
      <w:proofErr w:type="spellStart"/>
      <w:r w:rsidRPr="00C61F40">
        <w:rPr>
          <w:rFonts w:asciiTheme="majorBidi" w:hAnsiTheme="majorBidi" w:cstheme="majorBidi"/>
          <w:sz w:val="24"/>
          <w:szCs w:val="24"/>
        </w:rPr>
        <w:t>thioacetamide</w:t>
      </w:r>
      <w:proofErr w:type="spellEnd"/>
      <w:r w:rsidRPr="00C61F40">
        <w:rPr>
          <w:rFonts w:asciiTheme="majorBidi" w:hAnsiTheme="majorBidi" w:cstheme="majorBidi"/>
          <w:sz w:val="24"/>
          <w:szCs w:val="24"/>
        </w:rPr>
        <w:t xml:space="preserve">. Am J </w:t>
      </w:r>
      <w:proofErr w:type="spellStart"/>
      <w:r w:rsidRPr="00C61F40">
        <w:rPr>
          <w:rFonts w:asciiTheme="majorBidi" w:hAnsiTheme="majorBidi" w:cstheme="majorBidi"/>
          <w:sz w:val="24"/>
          <w:szCs w:val="24"/>
        </w:rPr>
        <w:t>Pathol</w:t>
      </w:r>
      <w:proofErr w:type="spellEnd"/>
      <w:r w:rsidRPr="00C61F40">
        <w:rPr>
          <w:rFonts w:asciiTheme="majorBidi" w:hAnsiTheme="majorBidi" w:cstheme="majorBidi"/>
          <w:sz w:val="24"/>
          <w:szCs w:val="24"/>
        </w:rPr>
        <w:t>. 1991; 139: 1099-109.</w:t>
      </w:r>
    </w:p>
    <w:p w:rsidR="00C61F40" w:rsidRDefault="00C61F40" w:rsidP="00C61F40">
      <w:pPr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1B4648">
        <w:rPr>
          <w:rFonts w:asciiTheme="majorBidi" w:hAnsiTheme="majorBidi" w:cstheme="majorBidi"/>
          <w:noProof/>
          <w:sz w:val="24"/>
          <w:szCs w:val="24"/>
        </w:rPr>
        <w:t>Kelloff GJ, Lieberman R, Steele VE, Boone CW, Lubet RA, Kopelovitch L, et al. Chemoprevention of prostate cancer: concepts and strategies. European urology. 1999;35(5-6):342-50</w:t>
      </w:r>
    </w:p>
    <w:p w:rsidR="00C61F40" w:rsidRPr="00C61F40" w:rsidRDefault="00C61F40" w:rsidP="00C61F40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  <w:r w:rsidRPr="00C61F40">
        <w:rPr>
          <w:rFonts w:asciiTheme="majorBidi" w:hAnsiTheme="majorBidi" w:cstheme="majorBidi"/>
          <w:noProof/>
          <w:sz w:val="24"/>
          <w:szCs w:val="24"/>
        </w:rPr>
        <w:t>Aktay G, Deliorman D, Ergun E, Ergun F, Yeşilada E, Çevik C. Hepatoprotective effects of Turkish folk remedies on experimental liver injury. Journal of ethnopharmacology. 2000;73(1):121-9.</w:t>
      </w:r>
    </w:p>
    <w:p w:rsidR="00C61F40" w:rsidRDefault="00C61F40" w:rsidP="00C61F40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  <w:r w:rsidRPr="00FF3A1C">
        <w:rPr>
          <w:rFonts w:asciiTheme="majorBidi" w:hAnsiTheme="majorBidi" w:cstheme="majorBidi"/>
          <w:noProof/>
          <w:sz w:val="24"/>
          <w:szCs w:val="24"/>
        </w:rPr>
        <w:t>Glauert HP, Calfee</w:t>
      </w:r>
      <w:r w:rsidRPr="00FF3A1C">
        <w:rPr>
          <w:rFonts w:asciiTheme="majorBidi" w:hAnsiTheme="majorBidi" w:cstheme="majorBidi" w:hint="eastAsia"/>
          <w:noProof/>
          <w:sz w:val="24"/>
          <w:szCs w:val="24"/>
        </w:rPr>
        <w:t>‐</w:t>
      </w:r>
      <w:r w:rsidRPr="00FF3A1C">
        <w:rPr>
          <w:rFonts w:asciiTheme="majorBidi" w:hAnsiTheme="majorBidi" w:cstheme="majorBidi"/>
          <w:noProof/>
          <w:sz w:val="24"/>
          <w:szCs w:val="24"/>
        </w:rPr>
        <w:t>Mason K, Stemm DN, Tharappel JC, Spear BT. Dietary antioxidants in the prevention of hepatocarcinogenesis: a review. Molecular nutrition &amp; food research. 2010;54(7):875-96.</w:t>
      </w:r>
    </w:p>
    <w:p w:rsidR="00C61F40" w:rsidRPr="002129F0" w:rsidRDefault="00C61F40" w:rsidP="00C61F40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Parkin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DM, Bray F, </w:t>
      </w:r>
      <w:proofErr w:type="spellStart"/>
      <w:r>
        <w:rPr>
          <w:rFonts w:ascii="Times New Roman" w:hAnsi="Times New Roman" w:cs="Times New Roman"/>
          <w:sz w:val="24"/>
          <w:szCs w:val="24"/>
        </w:rPr>
        <w:t>Ferlay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 Global cancer statistics, 2002. CA: a cancer journal for clinicians. 2005</w:t>
      </w:r>
      <w:proofErr w:type="gramStart"/>
      <w:r>
        <w:rPr>
          <w:rFonts w:ascii="Times New Roman" w:hAnsi="Times New Roman" w:cs="Times New Roman"/>
          <w:sz w:val="24"/>
          <w:szCs w:val="24"/>
        </w:rPr>
        <w:t>;55</w:t>
      </w:r>
      <w:proofErr w:type="gramEnd"/>
      <w:r>
        <w:rPr>
          <w:rFonts w:ascii="Times New Roman" w:hAnsi="Times New Roman" w:cs="Times New Roman"/>
          <w:sz w:val="24"/>
          <w:szCs w:val="24"/>
        </w:rPr>
        <w:t>(2):74-108.</w:t>
      </w:r>
    </w:p>
    <w:p w:rsidR="00C61F40" w:rsidRPr="002129F0" w:rsidRDefault="00C61F40" w:rsidP="00C61F40">
      <w:pPr>
        <w:pStyle w:val="ListParagraph"/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</w:p>
    <w:p w:rsidR="00C61F40" w:rsidRPr="00C61F40" w:rsidRDefault="00C61F40" w:rsidP="00C61F40">
      <w:pPr>
        <w:ind w:left="810"/>
        <w:jc w:val="both"/>
        <w:rPr>
          <w:rFonts w:asciiTheme="majorBidi" w:hAnsiTheme="majorBidi" w:cstheme="majorBidi"/>
          <w:sz w:val="24"/>
          <w:szCs w:val="24"/>
        </w:rPr>
      </w:pPr>
    </w:p>
    <w:p w:rsidR="00C61F40" w:rsidRPr="00C61F40" w:rsidRDefault="00C61F40" w:rsidP="0065492B">
      <w:pPr>
        <w:jc w:val="both"/>
        <w:rPr>
          <w:rFonts w:asciiTheme="majorBidi" w:hAnsiTheme="majorBidi" w:cstheme="majorBidi"/>
          <w:sz w:val="16"/>
          <w:szCs w:val="16"/>
        </w:rPr>
      </w:pPr>
    </w:p>
    <w:sectPr w:rsidR="00C61F40" w:rsidRPr="00C61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21097E"/>
    <w:multiLevelType w:val="hybridMultilevel"/>
    <w:tmpl w:val="FD924F34"/>
    <w:lvl w:ilvl="0" w:tplc="0694A01A">
      <w:start w:val="1"/>
      <w:numFmt w:val="decimal"/>
      <w:lvlText w:val="%1)"/>
      <w:lvlJc w:val="left"/>
      <w:pPr>
        <w:ind w:left="810" w:hanging="360"/>
      </w:p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decimal"/>
      <w:lvlText w:val="%4."/>
      <w:lvlJc w:val="left"/>
      <w:pPr>
        <w:ind w:left="2880" w:hanging="360"/>
      </w:pPr>
    </w:lvl>
    <w:lvl w:ilvl="4" w:tplc="04090003">
      <w:start w:val="1"/>
      <w:numFmt w:val="lowerLetter"/>
      <w:lvlText w:val="%5."/>
      <w:lvlJc w:val="left"/>
      <w:pPr>
        <w:ind w:left="3600" w:hanging="360"/>
      </w:pPr>
    </w:lvl>
    <w:lvl w:ilvl="5" w:tplc="04090005">
      <w:start w:val="1"/>
      <w:numFmt w:val="lowerRoman"/>
      <w:lvlText w:val="%6."/>
      <w:lvlJc w:val="right"/>
      <w:pPr>
        <w:ind w:left="4320" w:hanging="180"/>
      </w:pPr>
    </w:lvl>
    <w:lvl w:ilvl="6" w:tplc="04090001">
      <w:start w:val="1"/>
      <w:numFmt w:val="decimal"/>
      <w:lvlText w:val="%7."/>
      <w:lvlJc w:val="left"/>
      <w:pPr>
        <w:ind w:left="5040" w:hanging="360"/>
      </w:pPr>
    </w:lvl>
    <w:lvl w:ilvl="7" w:tplc="04090003">
      <w:start w:val="1"/>
      <w:numFmt w:val="lowerLetter"/>
      <w:lvlText w:val="%8."/>
      <w:lvlJc w:val="left"/>
      <w:pPr>
        <w:ind w:left="5760" w:hanging="360"/>
      </w:pPr>
    </w:lvl>
    <w:lvl w:ilvl="8" w:tplc="04090005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F3A43"/>
    <w:multiLevelType w:val="hybridMultilevel"/>
    <w:tmpl w:val="FD924F34"/>
    <w:lvl w:ilvl="0" w:tplc="0694A01A">
      <w:start w:val="1"/>
      <w:numFmt w:val="decimal"/>
      <w:lvlText w:val="%1)"/>
      <w:lvlJc w:val="left"/>
      <w:pPr>
        <w:ind w:left="810" w:hanging="360"/>
      </w:p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decimal"/>
      <w:lvlText w:val="%4."/>
      <w:lvlJc w:val="left"/>
      <w:pPr>
        <w:ind w:left="2880" w:hanging="360"/>
      </w:pPr>
    </w:lvl>
    <w:lvl w:ilvl="4" w:tplc="04090003">
      <w:start w:val="1"/>
      <w:numFmt w:val="lowerLetter"/>
      <w:lvlText w:val="%5."/>
      <w:lvlJc w:val="left"/>
      <w:pPr>
        <w:ind w:left="3600" w:hanging="360"/>
      </w:pPr>
    </w:lvl>
    <w:lvl w:ilvl="5" w:tplc="04090005">
      <w:start w:val="1"/>
      <w:numFmt w:val="lowerRoman"/>
      <w:lvlText w:val="%6."/>
      <w:lvlJc w:val="right"/>
      <w:pPr>
        <w:ind w:left="4320" w:hanging="180"/>
      </w:pPr>
    </w:lvl>
    <w:lvl w:ilvl="6" w:tplc="04090001">
      <w:start w:val="1"/>
      <w:numFmt w:val="decimal"/>
      <w:lvlText w:val="%7."/>
      <w:lvlJc w:val="left"/>
      <w:pPr>
        <w:ind w:left="5040" w:hanging="360"/>
      </w:pPr>
    </w:lvl>
    <w:lvl w:ilvl="7" w:tplc="04090003">
      <w:start w:val="1"/>
      <w:numFmt w:val="lowerLetter"/>
      <w:lvlText w:val="%8."/>
      <w:lvlJc w:val="left"/>
      <w:pPr>
        <w:ind w:left="5760" w:hanging="360"/>
      </w:pPr>
    </w:lvl>
    <w:lvl w:ilvl="8" w:tplc="04090005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2B"/>
    <w:rsid w:val="0025012D"/>
    <w:rsid w:val="00300910"/>
    <w:rsid w:val="004C099E"/>
    <w:rsid w:val="00513260"/>
    <w:rsid w:val="0065492B"/>
    <w:rsid w:val="00C6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BAF79-EA6D-4870-B470-447C07592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mahsahosni</dc:creator>
  <cp:keywords/>
  <dc:description/>
  <cp:lastModifiedBy>mahsahosni</cp:lastModifiedBy>
  <cp:revision>3</cp:revision>
  <dcterms:created xsi:type="dcterms:W3CDTF">2018-04-13T09:40:00Z</dcterms:created>
  <dcterms:modified xsi:type="dcterms:W3CDTF">2018-04-18T21:09:00Z</dcterms:modified>
</cp:coreProperties>
</file>