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D09" w:rsidRPr="006670F0" w:rsidRDefault="00186D09" w:rsidP="00186D09">
      <w:pPr>
        <w:pStyle w:val="Default"/>
        <w:spacing w:after="120"/>
        <w:rPr>
          <w:rFonts w:ascii="Calibri" w:hAnsi="Calibri" w:cstheme="minorBidi"/>
          <w:b/>
          <w:bCs/>
          <w:color w:val="548DD4" w:themeColor="text2" w:themeTint="99"/>
          <w:sz w:val="32"/>
          <w:szCs w:val="32"/>
        </w:rPr>
      </w:pPr>
      <w:r w:rsidRPr="006670F0">
        <w:rPr>
          <w:rFonts w:ascii="Calibri" w:hAnsi="Calibri" w:cstheme="minorBidi"/>
          <w:b/>
          <w:bCs/>
          <w:color w:val="548DD4" w:themeColor="text2" w:themeTint="99"/>
          <w:sz w:val="32"/>
          <w:szCs w:val="32"/>
        </w:rPr>
        <w:t>Bisphosphonates are Novel Inhibitors of hFPPS</w:t>
      </w:r>
      <w:r w:rsidRPr="006670F0">
        <w:rPr>
          <w:rFonts w:ascii="Calibri" w:hAnsi="Calibri" w:cstheme="minorBidi"/>
          <w:b/>
          <w:bCs/>
          <w:color w:val="548DD4" w:themeColor="text2" w:themeTint="99"/>
          <w:sz w:val="32"/>
          <w:szCs w:val="32"/>
        </w:rPr>
        <w:t xml:space="preserve"> </w:t>
      </w:r>
      <w:r w:rsidRPr="006670F0">
        <w:rPr>
          <w:rFonts w:ascii="Calibri" w:hAnsi="Calibri" w:cstheme="minorBidi"/>
          <w:b/>
          <w:bCs/>
          <w:color w:val="548DD4" w:themeColor="text2" w:themeTint="99"/>
          <w:sz w:val="32"/>
          <w:szCs w:val="32"/>
        </w:rPr>
        <w:t>Synthase</w:t>
      </w:r>
    </w:p>
    <w:p w:rsidR="00186D09" w:rsidRPr="006670F0" w:rsidRDefault="00186D09" w:rsidP="00186D09">
      <w:pPr>
        <w:pStyle w:val="Default"/>
        <w:spacing w:after="120"/>
        <w:rPr>
          <w:rFonts w:ascii="Calibri" w:hAnsi="Calibri"/>
          <w:b/>
          <w:bCs/>
          <w:color w:val="548DD4" w:themeColor="text2" w:themeTint="99"/>
          <w:sz w:val="32"/>
          <w:szCs w:val="32"/>
        </w:rPr>
      </w:pPr>
      <w:r w:rsidRPr="006670F0">
        <w:rPr>
          <w:rFonts w:ascii="Calibri" w:hAnsi="Calibri"/>
          <w:b/>
          <w:bCs/>
          <w:color w:val="548DD4" w:themeColor="text2" w:themeTint="99"/>
          <w:sz w:val="32"/>
          <w:szCs w:val="32"/>
        </w:rPr>
        <w:t xml:space="preserve">and their </w:t>
      </w:r>
      <w:r w:rsidRPr="006670F0">
        <w:rPr>
          <w:rFonts w:ascii="Calibri" w:hAnsi="Calibri"/>
          <w:b/>
          <w:bCs/>
          <w:color w:val="548DD4" w:themeColor="text2" w:themeTint="99"/>
          <w:sz w:val="32"/>
          <w:szCs w:val="32"/>
        </w:rPr>
        <w:t xml:space="preserve">  </w:t>
      </w:r>
      <w:r w:rsidRPr="006670F0">
        <w:rPr>
          <w:rFonts w:ascii="Calibri" w:hAnsi="Calibri"/>
          <w:b/>
          <w:bCs/>
          <w:color w:val="548DD4" w:themeColor="text2" w:themeTint="99"/>
          <w:sz w:val="32"/>
          <w:szCs w:val="32"/>
        </w:rPr>
        <w:t>Role in Oncology</w:t>
      </w:r>
    </w:p>
    <w:p w:rsidR="00186D09" w:rsidRPr="006670F0" w:rsidRDefault="00186D09" w:rsidP="00186D09">
      <w:pPr>
        <w:jc w:val="center"/>
        <w:rPr>
          <w:rStyle w:val="Hyperlink"/>
          <w:rFonts w:ascii="Calibri" w:hAnsi="Calibri"/>
          <w:b/>
          <w:bCs/>
          <w:color w:val="548DD4" w:themeColor="text2" w:themeTint="99"/>
          <w:sz w:val="32"/>
          <w:szCs w:val="32"/>
        </w:rPr>
      </w:pPr>
    </w:p>
    <w:p w:rsidR="00186D09" w:rsidRPr="006670F0" w:rsidRDefault="00186D09" w:rsidP="00186D09">
      <w:pPr>
        <w:rPr>
          <w:rFonts w:ascii="Calibri" w:hAnsi="Calibri"/>
          <w:sz w:val="20"/>
          <w:szCs w:val="20"/>
        </w:rPr>
      </w:pPr>
      <w:r w:rsidRPr="006670F0">
        <w:rPr>
          <w:rFonts w:ascii="Calibri" w:hAnsi="Calibri"/>
          <w:b/>
          <w:bCs/>
          <w:color w:val="548DD4" w:themeColor="text2" w:themeTint="99"/>
          <w:sz w:val="32"/>
          <w:szCs w:val="32"/>
        </w:rPr>
        <w:t>Wafaa M. Abdou</w:t>
      </w:r>
    </w:p>
    <w:p w:rsidR="00186D09" w:rsidRPr="006670F0" w:rsidRDefault="00186D09" w:rsidP="00186D09">
      <w:pPr>
        <w:pStyle w:val="Afiliation"/>
        <w:rPr>
          <w:rFonts w:ascii="Calibri" w:hAnsi="Calibri" w:cstheme="minorBidi"/>
        </w:rPr>
      </w:pPr>
      <w:r w:rsidRPr="006670F0">
        <w:rPr>
          <w:rFonts w:ascii="Calibri" w:hAnsi="Calibri" w:cstheme="minorBidi"/>
        </w:rPr>
        <w:t>Chemical Industries Division, National Research Centre, Elbohouth St.,</w:t>
      </w:r>
      <w:r w:rsidRPr="006670F0">
        <w:rPr>
          <w:rFonts w:ascii="Calibri" w:hAnsi="Calibri" w:cstheme="minorBidi"/>
        </w:rPr>
        <w:t xml:space="preserve"> </w:t>
      </w:r>
      <w:r w:rsidRPr="006670F0">
        <w:rPr>
          <w:rFonts w:ascii="Calibri" w:hAnsi="Calibri" w:cstheme="minorBidi"/>
        </w:rPr>
        <w:t>Dokki, Cairo, Egypt;</w:t>
      </w:r>
    </w:p>
    <w:p w:rsidR="00186D09" w:rsidRPr="006670F0" w:rsidRDefault="00186D09" w:rsidP="00186D09">
      <w:pPr>
        <w:pStyle w:val="Afiliation"/>
        <w:rPr>
          <w:rFonts w:ascii="Calibri" w:hAnsi="Calibri" w:cstheme="minorBidi"/>
        </w:rPr>
      </w:pPr>
      <w:r w:rsidRPr="006670F0">
        <w:rPr>
          <w:rFonts w:ascii="Calibri" w:hAnsi="Calibri" w:cstheme="minorBidi"/>
        </w:rPr>
        <w:t>*</w:t>
      </w:r>
      <w:r w:rsidRPr="006670F0">
        <w:rPr>
          <w:rFonts w:ascii="Calibri" w:hAnsi="Calibri" w:cstheme="minorBidi"/>
        </w:rPr>
        <w:t xml:space="preserve"> e-mail: wabdou@link.net</w:t>
      </w:r>
    </w:p>
    <w:p w:rsidR="00AE3E37" w:rsidRPr="006670F0" w:rsidRDefault="00AE3E37">
      <w:pPr>
        <w:pStyle w:val="BodyText"/>
        <w:spacing w:before="3"/>
        <w:rPr>
          <w:rFonts w:ascii="Calibri" w:hAnsi="Calibri"/>
          <w:sz w:val="21"/>
        </w:rPr>
      </w:pPr>
    </w:p>
    <w:p w:rsidR="00AE3E37" w:rsidRPr="006670F0" w:rsidRDefault="00AE3E37">
      <w:pPr>
        <w:rPr>
          <w:rFonts w:ascii="Calibri" w:hAnsi="Calibri"/>
          <w:sz w:val="21"/>
        </w:rPr>
        <w:sectPr w:rsidR="00AE3E37" w:rsidRPr="006670F0">
          <w:headerReference w:type="default" r:id="rId7"/>
          <w:footerReference w:type="default" r:id="rId8"/>
          <w:type w:val="continuous"/>
          <w:pgSz w:w="11910" w:h="16840"/>
          <w:pgMar w:top="1740" w:right="600" w:bottom="840" w:left="620" w:header="541" w:footer="642" w:gutter="0"/>
          <w:cols w:space="720"/>
        </w:sectPr>
      </w:pPr>
    </w:p>
    <w:p w:rsidR="00AE3E37" w:rsidRPr="006670F0" w:rsidRDefault="00A9710C">
      <w:pPr>
        <w:pStyle w:val="Heading3"/>
        <w:spacing w:before="147"/>
        <w:jc w:val="both"/>
        <w:rPr>
          <w:rFonts w:ascii="Calibri" w:hAnsi="Calibri"/>
        </w:rPr>
      </w:pPr>
      <w:r w:rsidRPr="006670F0">
        <w:rPr>
          <w:rFonts w:ascii="Calibri" w:hAnsi="Calibri"/>
          <w:color w:val="BF5A14"/>
        </w:rPr>
        <w:lastRenderedPageBreak/>
        <w:t>Abstract</w:t>
      </w:r>
      <w:r w:rsidR="00404E5B" w:rsidRPr="006670F0">
        <w:rPr>
          <w:rFonts w:ascii="Calibri" w:hAnsi="Calibri"/>
          <w:color w:val="BF5A14"/>
        </w:rPr>
        <w:t xml:space="preserve"> (300 word limit)</w:t>
      </w:r>
    </w:p>
    <w:p w:rsidR="00056894" w:rsidRPr="006670F0" w:rsidRDefault="00056894" w:rsidP="00056894">
      <w:pPr>
        <w:jc w:val="both"/>
        <w:rPr>
          <w:rFonts w:ascii="Calibri" w:hAnsi="Calibri"/>
          <w:sz w:val="18"/>
          <w:szCs w:val="18"/>
        </w:rPr>
      </w:pPr>
      <w:r w:rsidRPr="006670F0">
        <w:rPr>
          <w:rFonts w:ascii="Calibri" w:hAnsi="Calibri"/>
          <w:sz w:val="18"/>
          <w:szCs w:val="18"/>
        </w:rPr>
        <w:t xml:space="preserve">In addition to inhibiting bone resorption, and chronic arthritis, bisphosphonates (BPs) have also been shown to exhibit anti-tumor effects. </w:t>
      </w:r>
      <w:r w:rsidRPr="006670F0">
        <w:rPr>
          <w:rFonts w:ascii="Calibri" w:hAnsi="Calibri"/>
          <w:i/>
          <w:iCs/>
          <w:sz w:val="18"/>
          <w:szCs w:val="18"/>
        </w:rPr>
        <w:t>In vitro</w:t>
      </w:r>
      <w:r w:rsidRPr="006670F0">
        <w:rPr>
          <w:rFonts w:ascii="Calibri" w:hAnsi="Calibri"/>
          <w:sz w:val="18"/>
          <w:szCs w:val="18"/>
        </w:rPr>
        <w:t>, BPs inhibit proliferation and induce apoptosis in cultured human breast cancer cells. There is now a much greater appreciation of the benefits of introduction of BPs in oncology, which has dramatically changed the management of patients with metastatic bone disease. Recently, BPs have been, however, proven to be the drugs of choice to: i- Decrease in bone resorption in tumor bone disease. ii- Decrease in hypocalcemia as a result of diminution of bone resorption that leads to a big decrease of new osteolytic lesions, and iii- Decease of fractures, which results in amelioration of pain and an improvement of the quality of life</w:t>
      </w:r>
      <w:r w:rsidRPr="006670F0">
        <w:rPr>
          <w:rFonts w:ascii="Calibri" w:eastAsia="Times New Roman" w:hAnsi="Calibri"/>
          <w:sz w:val="18"/>
          <w:szCs w:val="18"/>
        </w:rPr>
        <w:t xml:space="preserve"> [1]. This </w:t>
      </w:r>
      <w:r w:rsidRPr="006670F0">
        <w:rPr>
          <w:rFonts w:ascii="Calibri" w:hAnsi="Calibri"/>
          <w:color w:val="000000"/>
          <w:sz w:val="18"/>
          <w:szCs w:val="18"/>
        </w:rPr>
        <w:t xml:space="preserve">antitumor potency of BPs, particularly </w:t>
      </w:r>
      <w:r w:rsidRPr="006670F0">
        <w:rPr>
          <w:rFonts w:ascii="Calibri" w:hAnsi="Calibri"/>
          <w:i/>
          <w:iCs/>
          <w:color w:val="000000"/>
          <w:sz w:val="18"/>
          <w:szCs w:val="18"/>
        </w:rPr>
        <w:t>N</w:t>
      </w:r>
      <w:r w:rsidRPr="006670F0">
        <w:rPr>
          <w:rFonts w:ascii="Calibri" w:hAnsi="Calibri"/>
          <w:color w:val="000000"/>
          <w:sz w:val="18"/>
          <w:szCs w:val="18"/>
        </w:rPr>
        <w:t>-BPs was attributed to the differences of their molecular mechanism of action. Thus, BPs can be grouped in two main different classes: first-generation is non-</w:t>
      </w:r>
      <w:r w:rsidRPr="006670F0">
        <w:rPr>
          <w:rFonts w:ascii="Calibri" w:hAnsi="Calibri"/>
          <w:i/>
          <w:iCs/>
          <w:color w:val="000000"/>
          <w:sz w:val="18"/>
          <w:szCs w:val="18"/>
        </w:rPr>
        <w:t>N</w:t>
      </w:r>
      <w:r w:rsidRPr="006670F0">
        <w:rPr>
          <w:rFonts w:ascii="Calibri" w:hAnsi="Calibri"/>
          <w:color w:val="000000"/>
          <w:sz w:val="18"/>
          <w:szCs w:val="18"/>
        </w:rPr>
        <w:t xml:space="preserve">-BPs and the second generation is </w:t>
      </w:r>
      <w:r w:rsidRPr="006670F0">
        <w:rPr>
          <w:rFonts w:ascii="Calibri" w:hAnsi="Calibri"/>
          <w:i/>
          <w:iCs/>
          <w:color w:val="000000"/>
          <w:sz w:val="18"/>
          <w:szCs w:val="18"/>
        </w:rPr>
        <w:t>N</w:t>
      </w:r>
      <w:r w:rsidRPr="006670F0">
        <w:rPr>
          <w:rFonts w:ascii="Calibri" w:hAnsi="Calibri"/>
          <w:color w:val="000000"/>
          <w:sz w:val="18"/>
          <w:szCs w:val="18"/>
        </w:rPr>
        <w:t>-BPs. First-generation of BPs, such as clodronate and etidronate, are metabolized intracellular to analogues of ATP by inhibiting ATP-dependent enzymes. In contrast, second-</w:t>
      </w:r>
      <w:r w:rsidRPr="006670F0">
        <w:rPr>
          <w:rFonts w:ascii="Calibri" w:hAnsi="Calibri"/>
          <w:i/>
          <w:iCs/>
          <w:color w:val="000000"/>
          <w:sz w:val="18"/>
          <w:szCs w:val="18"/>
        </w:rPr>
        <w:t xml:space="preserve"> N</w:t>
      </w:r>
      <w:r w:rsidRPr="006670F0">
        <w:rPr>
          <w:rFonts w:ascii="Calibri" w:hAnsi="Calibri"/>
          <w:color w:val="000000"/>
          <w:sz w:val="18"/>
          <w:szCs w:val="18"/>
        </w:rPr>
        <w:t xml:space="preserve">-BPs, generation such as pamidronate and zoledronate, interfere with mevalonate biosynthetic pathway, by inhibiting farnesyl diphosphate (FPP) synthase [2]. </w:t>
      </w:r>
      <w:r w:rsidRPr="006670F0">
        <w:rPr>
          <w:rFonts w:ascii="Calibri" w:hAnsi="Calibri"/>
          <w:sz w:val="18"/>
          <w:szCs w:val="18"/>
        </w:rPr>
        <w:t>Our recent</w:t>
      </w:r>
      <w:r w:rsidRPr="006670F0">
        <w:rPr>
          <w:rFonts w:ascii="Calibri" w:hAnsi="Calibri"/>
          <w:sz w:val="18"/>
          <w:szCs w:val="18"/>
        </w:rPr>
        <w:t xml:space="preserve"> [3-5]</w:t>
      </w:r>
      <w:r w:rsidRPr="006670F0">
        <w:rPr>
          <w:rFonts w:ascii="Calibri" w:hAnsi="Calibri"/>
          <w:sz w:val="18"/>
          <w:szCs w:val="18"/>
        </w:rPr>
        <w:t>, and present work considered an elaboration of a novel series</w:t>
      </w:r>
      <w:r w:rsidRPr="006670F0">
        <w:rPr>
          <w:rFonts w:ascii="Calibri" w:hAnsi="Calibri"/>
          <w:b/>
          <w:bCs/>
          <w:sz w:val="18"/>
          <w:szCs w:val="18"/>
        </w:rPr>
        <w:t xml:space="preserve"> </w:t>
      </w:r>
      <w:r w:rsidRPr="006670F0">
        <w:rPr>
          <w:rFonts w:ascii="Calibri" w:hAnsi="Calibri"/>
          <w:sz w:val="18"/>
          <w:szCs w:val="18"/>
        </w:rPr>
        <w:t xml:space="preserve">of nitrogen and/or sulfur containing BPs. Several of these </w:t>
      </w:r>
      <w:r w:rsidRPr="006670F0">
        <w:rPr>
          <w:rFonts w:ascii="Calibri" w:hAnsi="Calibri"/>
          <w:i/>
          <w:iCs/>
          <w:sz w:val="18"/>
          <w:szCs w:val="18"/>
        </w:rPr>
        <w:t>N</w:t>
      </w:r>
      <w:r w:rsidRPr="006670F0">
        <w:rPr>
          <w:rFonts w:ascii="Calibri" w:hAnsi="Calibri"/>
          <w:sz w:val="18"/>
          <w:szCs w:val="18"/>
        </w:rPr>
        <w:t>-BPs reflected remarkable antitumor activity against breast, ovarian, and prostate</w:t>
      </w:r>
      <w:r w:rsidRPr="006670F0">
        <w:rPr>
          <w:rFonts w:ascii="Calibri" w:hAnsi="Calibri"/>
          <w:sz w:val="18"/>
          <w:szCs w:val="18"/>
          <w:lang w:bidi="ar-EG"/>
        </w:rPr>
        <w:t xml:space="preserve"> </w:t>
      </w:r>
      <w:r w:rsidRPr="006670F0">
        <w:rPr>
          <w:rFonts w:ascii="Calibri" w:hAnsi="Calibri"/>
          <w:sz w:val="18"/>
          <w:szCs w:val="18"/>
        </w:rPr>
        <w:t>carcinoma cell lines.</w:t>
      </w:r>
    </w:p>
    <w:p w:rsidR="00AE3E37" w:rsidRPr="006670F0" w:rsidRDefault="00A9710C">
      <w:pPr>
        <w:pStyle w:val="Heading3"/>
        <w:spacing w:before="74"/>
        <w:rPr>
          <w:rFonts w:ascii="Calibri" w:hAnsi="Calibri"/>
        </w:rPr>
      </w:pPr>
      <w:r w:rsidRPr="006670F0">
        <w:rPr>
          <w:rFonts w:ascii="Calibri" w:hAnsi="Calibri"/>
          <w:b w:val="0"/>
          <w:sz w:val="18"/>
          <w:szCs w:val="18"/>
        </w:rPr>
        <w:br w:type="column"/>
      </w:r>
      <w:r w:rsidRPr="006670F0">
        <w:rPr>
          <w:rFonts w:ascii="Calibri" w:hAnsi="Calibri"/>
          <w:color w:val="BF5A14"/>
        </w:rPr>
        <w:lastRenderedPageBreak/>
        <w:t>Image</w:t>
      </w:r>
    </w:p>
    <w:p w:rsidR="00056894" w:rsidRPr="006670F0" w:rsidRDefault="00056894" w:rsidP="006670F0">
      <w:pPr>
        <w:jc w:val="both"/>
        <w:rPr>
          <w:rFonts w:ascii="Calibri" w:hAnsi="Calibri"/>
        </w:rPr>
      </w:pPr>
      <w:r w:rsidRPr="006670F0">
        <w:rPr>
          <w:rFonts w:ascii="Calibri" w:hAnsi="Calibri"/>
        </w:rPr>
        <w:t xml:space="preserve">       </w:t>
      </w:r>
      <w:r w:rsidRPr="006670F0">
        <w:rPr>
          <w:rFonts w:ascii="Calibri" w:hAnsi="Calibri"/>
          <w:noProof/>
        </w:rPr>
        <w:drawing>
          <wp:inline distT="0" distB="0" distL="0" distR="0" wp14:anchorId="23A2F267" wp14:editId="3D3A19BF">
            <wp:extent cx="1354527" cy="87645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6440" cy="884167"/>
                    </a:xfrm>
                    <a:prstGeom prst="rect">
                      <a:avLst/>
                    </a:prstGeom>
                    <a:noFill/>
                    <a:ln>
                      <a:noFill/>
                    </a:ln>
                  </pic:spPr>
                </pic:pic>
              </a:graphicData>
            </a:graphic>
          </wp:inline>
        </w:drawing>
      </w:r>
      <w:r w:rsidRPr="006670F0">
        <w:rPr>
          <w:rFonts w:ascii="Calibri" w:hAnsi="Calibri"/>
          <w:noProof/>
        </w:rPr>
        <w:drawing>
          <wp:inline distT="0" distB="0" distL="0" distR="0" wp14:anchorId="78FA78AE" wp14:editId="3BF4ADE3">
            <wp:extent cx="1380226" cy="1323363"/>
            <wp:effectExtent l="0" t="0" r="0" b="0"/>
            <wp:docPr id="27" name="Picture 27" descr="cave-zol-i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ve-zol-ipp.png"/>
                    <pic:cNvPicPr>
                      <a:picLocks noChangeAspect="1" noChangeArrowheads="1"/>
                    </pic:cNvPicPr>
                  </pic:nvPicPr>
                  <pic:blipFill>
                    <a:blip r:embed="rId10" cstate="print">
                      <a:clrChange>
                        <a:clrFrom>
                          <a:srgbClr val="000000"/>
                        </a:clrFrom>
                        <a:clrTo>
                          <a:srgbClr val="000000">
                            <a:alpha val="0"/>
                          </a:srgbClr>
                        </a:clrTo>
                      </a:clrChange>
                      <a:extLst>
                        <a:ext uri="{28A0092B-C50C-407E-A947-70E740481C1C}">
                          <a14:useLocalDpi xmlns:a14="http://schemas.microsoft.com/office/drawing/2010/main" val="0"/>
                        </a:ext>
                      </a:extLst>
                    </a:blip>
                    <a:srcRect l="27499" t="9645" r="28333" b="8031"/>
                    <a:stretch>
                      <a:fillRect/>
                    </a:stretch>
                  </pic:blipFill>
                  <pic:spPr bwMode="auto">
                    <a:xfrm>
                      <a:off x="0" y="0"/>
                      <a:ext cx="1384074" cy="1327053"/>
                    </a:xfrm>
                    <a:prstGeom prst="rect">
                      <a:avLst/>
                    </a:prstGeom>
                    <a:noFill/>
                    <a:ln>
                      <a:noFill/>
                    </a:ln>
                  </pic:spPr>
                </pic:pic>
              </a:graphicData>
            </a:graphic>
          </wp:inline>
        </w:drawing>
      </w:r>
      <w:r w:rsidRPr="006670F0">
        <w:rPr>
          <w:rFonts w:ascii="Calibri" w:hAnsi="Calibri"/>
        </w:rPr>
        <w:t xml:space="preserve">         </w:t>
      </w:r>
    </w:p>
    <w:p w:rsidR="00056894" w:rsidRPr="006670F0" w:rsidRDefault="00056894" w:rsidP="00056894">
      <w:pPr>
        <w:rPr>
          <w:rFonts w:ascii="Calibri" w:hAnsi="Calibri"/>
          <w:sz w:val="18"/>
          <w:szCs w:val="18"/>
        </w:rPr>
      </w:pPr>
      <w:r w:rsidRPr="006670F0">
        <w:rPr>
          <w:rFonts w:ascii="Calibri" w:hAnsi="Calibri"/>
          <w:sz w:val="18"/>
          <w:szCs w:val="18"/>
        </w:rPr>
        <w:t xml:space="preserve"> Mechanism of action of </w:t>
      </w:r>
      <w:r w:rsidRPr="006670F0">
        <w:rPr>
          <w:rFonts w:ascii="Calibri" w:hAnsi="Calibri"/>
          <w:i/>
          <w:iCs/>
          <w:sz w:val="18"/>
          <w:szCs w:val="18"/>
        </w:rPr>
        <w:t>N</w:t>
      </w:r>
      <w:r w:rsidRPr="006670F0">
        <w:rPr>
          <w:rFonts w:ascii="Calibri" w:hAnsi="Calibri"/>
          <w:sz w:val="18"/>
          <w:szCs w:val="18"/>
        </w:rPr>
        <w:t xml:space="preserve">-BPs          </w:t>
      </w:r>
    </w:p>
    <w:p w:rsidR="00056894" w:rsidRPr="006670F0" w:rsidRDefault="00056894" w:rsidP="00056894">
      <w:pPr>
        <w:rPr>
          <w:rFonts w:ascii="Calibri" w:hAnsi="Calibri"/>
          <w:bCs/>
          <w:sz w:val="20"/>
          <w:szCs w:val="20"/>
        </w:rPr>
      </w:pPr>
    </w:p>
    <w:p w:rsidR="005973B9" w:rsidRPr="006670F0" w:rsidRDefault="005973B9" w:rsidP="005973B9">
      <w:pPr>
        <w:spacing w:line="204" w:lineRule="exact"/>
        <w:rPr>
          <w:rFonts w:ascii="Calibri" w:hAnsi="Calibri"/>
          <w:b/>
          <w:sz w:val="20"/>
        </w:rPr>
      </w:pPr>
      <w:r w:rsidRPr="006670F0">
        <w:rPr>
          <w:rFonts w:ascii="Calibri" w:hAnsi="Calibri"/>
          <w:b/>
          <w:color w:val="BF5A14"/>
          <w:sz w:val="20"/>
        </w:rPr>
        <w:t>Recent Publications (minimum 5)</w:t>
      </w:r>
    </w:p>
    <w:p w:rsidR="006670F0" w:rsidRPr="006670F0" w:rsidRDefault="006670F0" w:rsidP="006670F0">
      <w:pPr>
        <w:widowControl/>
        <w:numPr>
          <w:ilvl w:val="0"/>
          <w:numId w:val="3"/>
        </w:numPr>
        <w:spacing w:after="120"/>
        <w:jc w:val="both"/>
        <w:rPr>
          <w:rFonts w:asciiTheme="minorHAnsi" w:hAnsiTheme="minorHAnsi" w:cstheme="minorBidi"/>
          <w:bCs/>
          <w:sz w:val="16"/>
          <w:szCs w:val="16"/>
        </w:rPr>
      </w:pPr>
      <w:r w:rsidRPr="006670F0">
        <w:rPr>
          <w:rFonts w:asciiTheme="minorHAnsi" w:hAnsiTheme="minorHAnsi" w:cstheme="minorBidi"/>
          <w:bCs/>
          <w:sz w:val="16"/>
          <w:szCs w:val="16"/>
        </w:rPr>
        <w:t xml:space="preserve">Abdou W.M., Barghash, R.F., Bekheit M.S. Geronikaki, A. Cytotoxicity and Anti-inflammation Profiles of Synthesized Thiazoles-Based </w:t>
      </w:r>
      <w:r w:rsidRPr="006670F0">
        <w:rPr>
          <w:rFonts w:asciiTheme="minorHAnsi" w:hAnsiTheme="minorHAnsi" w:cstheme="minorBidi"/>
          <w:bCs/>
          <w:i/>
          <w:iCs/>
          <w:sz w:val="16"/>
          <w:szCs w:val="16"/>
        </w:rPr>
        <w:t>N</w:t>
      </w:r>
      <w:r w:rsidRPr="006670F0">
        <w:rPr>
          <w:rFonts w:asciiTheme="minorHAnsi" w:hAnsiTheme="minorHAnsi" w:cstheme="minorBidi"/>
          <w:bCs/>
          <w:sz w:val="16"/>
          <w:szCs w:val="16"/>
        </w:rPr>
        <w:t xml:space="preserve">-Bisphosphonates and Relevant Bisphosphonic acids. </w:t>
      </w:r>
      <w:r w:rsidRPr="006670F0">
        <w:rPr>
          <w:rFonts w:asciiTheme="minorHAnsi" w:hAnsiTheme="minorHAnsi" w:cstheme="minorBidi"/>
          <w:bCs/>
          <w:i/>
          <w:iCs/>
          <w:sz w:val="16"/>
          <w:szCs w:val="16"/>
        </w:rPr>
        <w:t>ChemistrySelect</w:t>
      </w:r>
      <w:r w:rsidRPr="006670F0">
        <w:rPr>
          <w:rFonts w:asciiTheme="minorHAnsi" w:hAnsiTheme="minorHAnsi" w:cstheme="minorBidi"/>
          <w:bCs/>
          <w:sz w:val="16"/>
          <w:szCs w:val="16"/>
        </w:rPr>
        <w:t xml:space="preserve">. 2016, </w:t>
      </w:r>
      <w:r w:rsidRPr="006670F0">
        <w:rPr>
          <w:rFonts w:asciiTheme="minorHAnsi" w:hAnsiTheme="minorHAnsi" w:cstheme="minorBidi"/>
          <w:bCs/>
          <w:i/>
          <w:iCs/>
          <w:sz w:val="16"/>
          <w:szCs w:val="16"/>
        </w:rPr>
        <w:t>1</w:t>
      </w:r>
      <w:r w:rsidRPr="006670F0">
        <w:rPr>
          <w:rFonts w:asciiTheme="minorHAnsi" w:hAnsiTheme="minorHAnsi" w:cstheme="minorBidi"/>
          <w:bCs/>
          <w:sz w:val="16"/>
          <w:szCs w:val="16"/>
        </w:rPr>
        <w:t xml:space="preserve"> (13), 3797-3803.</w:t>
      </w:r>
    </w:p>
    <w:p w:rsidR="006670F0" w:rsidRPr="006670F0" w:rsidRDefault="006670F0" w:rsidP="006670F0">
      <w:pPr>
        <w:pStyle w:val="ListParagraph"/>
        <w:numPr>
          <w:ilvl w:val="0"/>
          <w:numId w:val="3"/>
        </w:numPr>
        <w:spacing w:before="0" w:after="120" w:line="240" w:lineRule="auto"/>
        <w:ind w:left="380"/>
        <w:rPr>
          <w:rFonts w:asciiTheme="minorHAnsi" w:hAnsiTheme="minorHAnsi" w:cstheme="minorBidi"/>
          <w:sz w:val="16"/>
          <w:szCs w:val="16"/>
        </w:rPr>
      </w:pPr>
      <w:r w:rsidRPr="006670F0">
        <w:rPr>
          <w:rFonts w:asciiTheme="minorHAnsi" w:hAnsiTheme="minorHAnsi" w:cstheme="minorBidi"/>
          <w:sz w:val="16"/>
          <w:szCs w:val="16"/>
        </w:rPr>
        <w:t xml:space="preserve">Barghash, R.F. </w:t>
      </w:r>
      <w:r w:rsidRPr="006670F0">
        <w:rPr>
          <w:rFonts w:asciiTheme="minorHAnsi" w:hAnsiTheme="minorHAnsi" w:cstheme="minorBidi"/>
          <w:b/>
          <w:sz w:val="16"/>
          <w:szCs w:val="16"/>
        </w:rPr>
        <w:t>Abdou W.M</w:t>
      </w:r>
      <w:r w:rsidRPr="006670F0">
        <w:rPr>
          <w:rFonts w:asciiTheme="minorHAnsi" w:hAnsiTheme="minorHAnsi" w:cstheme="minorBidi"/>
          <w:sz w:val="16"/>
          <w:szCs w:val="16"/>
        </w:rPr>
        <w:t xml:space="preserve">. Pathophysiology of metastatic bone disease and the role of the second generation of bisphosphonates: from basic science to medicine. </w:t>
      </w:r>
      <w:r w:rsidRPr="006670F0">
        <w:rPr>
          <w:rFonts w:asciiTheme="minorHAnsi" w:hAnsiTheme="minorHAnsi" w:cstheme="minorBidi"/>
          <w:i/>
          <w:iCs/>
          <w:sz w:val="16"/>
          <w:szCs w:val="16"/>
        </w:rPr>
        <w:t xml:space="preserve">Current Pharmaceutical Design, </w:t>
      </w:r>
      <w:r w:rsidRPr="006670F0">
        <w:rPr>
          <w:rFonts w:asciiTheme="minorHAnsi" w:hAnsiTheme="minorHAnsi" w:cstheme="minorBidi"/>
          <w:b/>
          <w:bCs/>
          <w:sz w:val="16"/>
          <w:szCs w:val="16"/>
        </w:rPr>
        <w:t>2016</w:t>
      </w:r>
      <w:r w:rsidRPr="006670F0">
        <w:rPr>
          <w:rFonts w:asciiTheme="minorHAnsi" w:hAnsiTheme="minorHAnsi" w:cstheme="minorBidi"/>
          <w:i/>
          <w:iCs/>
          <w:sz w:val="16"/>
          <w:szCs w:val="16"/>
        </w:rPr>
        <w:t xml:space="preserve">, 22, </w:t>
      </w:r>
      <w:r w:rsidRPr="006670F0">
        <w:rPr>
          <w:rFonts w:asciiTheme="minorHAnsi" w:hAnsiTheme="minorHAnsi" w:cstheme="minorBidi"/>
          <w:sz w:val="16"/>
          <w:szCs w:val="16"/>
        </w:rPr>
        <w:t>1546-1557.</w:t>
      </w:r>
    </w:p>
    <w:p w:rsidR="006670F0" w:rsidRPr="006670F0" w:rsidRDefault="006670F0" w:rsidP="006670F0">
      <w:pPr>
        <w:widowControl/>
        <w:numPr>
          <w:ilvl w:val="0"/>
          <w:numId w:val="3"/>
        </w:numPr>
        <w:spacing w:after="120"/>
        <w:ind w:left="380"/>
        <w:jc w:val="both"/>
        <w:rPr>
          <w:rFonts w:asciiTheme="minorHAnsi" w:hAnsiTheme="minorHAnsi" w:cstheme="minorBidi"/>
          <w:bCs/>
          <w:sz w:val="16"/>
          <w:szCs w:val="16"/>
        </w:rPr>
      </w:pPr>
      <w:r w:rsidRPr="006670F0">
        <w:rPr>
          <w:rFonts w:asciiTheme="minorHAnsi" w:hAnsiTheme="minorHAnsi" w:cstheme="minorBidi"/>
          <w:b/>
          <w:sz w:val="16"/>
          <w:szCs w:val="16"/>
        </w:rPr>
        <w:t xml:space="preserve">Abdou W.M., </w:t>
      </w:r>
      <w:r w:rsidRPr="006670F0">
        <w:rPr>
          <w:rFonts w:asciiTheme="minorHAnsi" w:hAnsiTheme="minorHAnsi" w:cstheme="minorBidi"/>
          <w:bCs/>
          <w:sz w:val="16"/>
          <w:szCs w:val="16"/>
        </w:rPr>
        <w:t xml:space="preserve">Barghash, R.F., Bekheit M.S. Geronikaki, A. Cytotoxicity and Anti-inflammation Profiles of Synthesized Thiazoles-Based </w:t>
      </w:r>
      <w:r w:rsidRPr="006670F0">
        <w:rPr>
          <w:rFonts w:asciiTheme="minorHAnsi" w:hAnsiTheme="minorHAnsi" w:cstheme="minorBidi"/>
          <w:bCs/>
          <w:i/>
          <w:iCs/>
          <w:sz w:val="16"/>
          <w:szCs w:val="16"/>
        </w:rPr>
        <w:t>N</w:t>
      </w:r>
      <w:r w:rsidRPr="006670F0">
        <w:rPr>
          <w:rFonts w:asciiTheme="minorHAnsi" w:hAnsiTheme="minorHAnsi" w:cstheme="minorBidi"/>
          <w:bCs/>
          <w:sz w:val="16"/>
          <w:szCs w:val="16"/>
        </w:rPr>
        <w:t xml:space="preserve">-Bisphosphonates and Relevant Bisphosphonic acids. </w:t>
      </w:r>
      <w:r w:rsidRPr="006670F0">
        <w:rPr>
          <w:rFonts w:asciiTheme="minorHAnsi" w:hAnsiTheme="minorHAnsi" w:cstheme="minorBidi"/>
          <w:i/>
          <w:iCs/>
          <w:sz w:val="16"/>
          <w:szCs w:val="16"/>
        </w:rPr>
        <w:t>ChemistrySelect</w:t>
      </w:r>
      <w:r w:rsidRPr="006670F0">
        <w:rPr>
          <w:rFonts w:asciiTheme="minorHAnsi" w:hAnsiTheme="minorHAnsi" w:cstheme="minorBidi"/>
          <w:sz w:val="16"/>
          <w:szCs w:val="16"/>
        </w:rPr>
        <w:t xml:space="preserve">. </w:t>
      </w:r>
      <w:r w:rsidRPr="006670F0">
        <w:rPr>
          <w:rFonts w:asciiTheme="minorHAnsi" w:hAnsiTheme="minorHAnsi" w:cstheme="minorBidi"/>
          <w:b/>
          <w:bCs/>
          <w:sz w:val="16"/>
          <w:szCs w:val="16"/>
        </w:rPr>
        <w:t>2016</w:t>
      </w:r>
      <w:r w:rsidRPr="006670F0">
        <w:rPr>
          <w:rFonts w:asciiTheme="minorHAnsi" w:hAnsiTheme="minorHAnsi" w:cstheme="minorBidi"/>
          <w:sz w:val="16"/>
          <w:szCs w:val="16"/>
        </w:rPr>
        <w:t xml:space="preserve">, </w:t>
      </w:r>
      <w:r w:rsidRPr="006670F0">
        <w:rPr>
          <w:rFonts w:asciiTheme="minorHAnsi" w:hAnsiTheme="minorHAnsi" w:cstheme="minorBidi"/>
          <w:i/>
          <w:iCs/>
          <w:sz w:val="16"/>
          <w:szCs w:val="16"/>
        </w:rPr>
        <w:t>1</w:t>
      </w:r>
      <w:r w:rsidRPr="006670F0">
        <w:rPr>
          <w:rFonts w:asciiTheme="minorHAnsi" w:hAnsiTheme="minorHAnsi" w:cstheme="minorBidi"/>
          <w:sz w:val="16"/>
          <w:szCs w:val="16"/>
        </w:rPr>
        <w:t xml:space="preserve"> (13), 3797-3803.</w:t>
      </w:r>
    </w:p>
    <w:p w:rsidR="006670F0" w:rsidRPr="006670F0" w:rsidRDefault="006670F0" w:rsidP="006670F0">
      <w:pPr>
        <w:pStyle w:val="HTMLPreformatted"/>
        <w:numPr>
          <w:ilvl w:val="0"/>
          <w:numId w:val="3"/>
        </w:numPr>
        <w:tabs>
          <w:tab w:val="clear" w:pos="916"/>
          <w:tab w:val="left" w:pos="-1560"/>
          <w:tab w:val="left" w:pos="357"/>
        </w:tabs>
        <w:autoSpaceDE w:val="0"/>
        <w:autoSpaceDN w:val="0"/>
        <w:adjustRightInd w:val="0"/>
        <w:spacing w:after="120"/>
        <w:ind w:left="425" w:hanging="357"/>
        <w:jc w:val="both"/>
        <w:outlineLvl w:val="0"/>
        <w:rPr>
          <w:rFonts w:asciiTheme="minorHAnsi" w:hAnsiTheme="minorHAnsi"/>
          <w:sz w:val="16"/>
          <w:szCs w:val="16"/>
        </w:rPr>
      </w:pPr>
      <w:r w:rsidRPr="006670F0">
        <w:rPr>
          <w:rFonts w:asciiTheme="minorHAnsi" w:hAnsiTheme="minorHAnsi"/>
          <w:b/>
          <w:sz w:val="16"/>
          <w:szCs w:val="16"/>
        </w:rPr>
        <w:t>Abdou W.M</w:t>
      </w:r>
      <w:r w:rsidRPr="006670F0">
        <w:rPr>
          <w:rFonts w:asciiTheme="minorHAnsi" w:hAnsiTheme="minorHAnsi"/>
          <w:sz w:val="16"/>
          <w:szCs w:val="16"/>
        </w:rPr>
        <w:t>., Bekheit</w:t>
      </w:r>
      <w:r w:rsidRPr="006670F0">
        <w:rPr>
          <w:rFonts w:asciiTheme="minorHAnsi" w:hAnsiTheme="minorHAnsi"/>
          <w:sz w:val="16"/>
          <w:szCs w:val="16"/>
          <w:vertAlign w:val="superscript"/>
        </w:rPr>
        <w:t xml:space="preserve"> </w:t>
      </w:r>
      <w:r w:rsidRPr="006670F0">
        <w:rPr>
          <w:rFonts w:asciiTheme="minorHAnsi" w:hAnsiTheme="minorHAnsi"/>
          <w:sz w:val="16"/>
          <w:szCs w:val="16"/>
        </w:rPr>
        <w:t xml:space="preserve">M.S. One pot three-component synthesis of peptidomimics for investigation of antibacterial and antineoplastic properties. </w:t>
      </w:r>
      <w:r w:rsidRPr="006670F0">
        <w:rPr>
          <w:rFonts w:asciiTheme="minorHAnsi" w:hAnsiTheme="minorHAnsi"/>
          <w:i/>
          <w:sz w:val="16"/>
          <w:szCs w:val="16"/>
        </w:rPr>
        <w:t>Arabian J. Chemistry</w:t>
      </w:r>
      <w:r w:rsidRPr="006670F0">
        <w:rPr>
          <w:rFonts w:asciiTheme="minorHAnsi" w:hAnsiTheme="minorHAnsi"/>
          <w:sz w:val="16"/>
          <w:szCs w:val="16"/>
        </w:rPr>
        <w:t xml:space="preserve">, </w:t>
      </w:r>
      <w:r w:rsidRPr="006670F0">
        <w:rPr>
          <w:rFonts w:asciiTheme="minorHAnsi" w:hAnsiTheme="minorHAnsi"/>
          <w:b/>
          <w:sz w:val="16"/>
          <w:szCs w:val="16"/>
        </w:rPr>
        <w:t>201</w:t>
      </w:r>
      <w:r w:rsidRPr="006670F0">
        <w:rPr>
          <w:rFonts w:asciiTheme="minorHAnsi" w:hAnsiTheme="minorHAnsi"/>
          <w:bCs/>
          <w:sz w:val="16"/>
          <w:szCs w:val="16"/>
          <w:rtl/>
        </w:rPr>
        <w:t>6</w:t>
      </w:r>
      <w:r w:rsidRPr="006670F0">
        <w:rPr>
          <w:rFonts w:asciiTheme="minorHAnsi" w:hAnsiTheme="minorHAnsi"/>
          <w:sz w:val="16"/>
          <w:szCs w:val="16"/>
        </w:rPr>
        <w:t>, DOI:10.1016/j.arabjc.2015.04.014.</w:t>
      </w:r>
    </w:p>
    <w:p w:rsidR="006670F0" w:rsidRPr="006670F0" w:rsidRDefault="009C6E7F" w:rsidP="006670F0">
      <w:pPr>
        <w:pStyle w:val="HTMLPreformatted"/>
        <w:numPr>
          <w:ilvl w:val="0"/>
          <w:numId w:val="3"/>
        </w:numPr>
        <w:tabs>
          <w:tab w:val="clear" w:pos="916"/>
          <w:tab w:val="left" w:pos="-1560"/>
          <w:tab w:val="left" w:pos="357"/>
        </w:tabs>
        <w:autoSpaceDE w:val="0"/>
        <w:autoSpaceDN w:val="0"/>
        <w:adjustRightInd w:val="0"/>
        <w:spacing w:after="120"/>
        <w:ind w:left="426" w:hanging="357"/>
        <w:jc w:val="both"/>
        <w:outlineLvl w:val="0"/>
        <w:rPr>
          <w:rFonts w:asciiTheme="minorHAnsi" w:hAnsiTheme="minorHAnsi"/>
          <w:sz w:val="16"/>
          <w:szCs w:val="16"/>
        </w:rPr>
      </w:pPr>
      <w:r w:rsidRPr="006670F0">
        <w:rPr>
          <w:rFonts w:asciiTheme="minorHAnsi" w:hAnsiTheme="minorHAnsi" w:cstheme="minorBidi"/>
          <w:sz w:val="16"/>
          <w:szCs w:val="16"/>
        </w:rPr>
        <w:t xml:space="preserve"> </w:t>
      </w:r>
      <w:r w:rsidR="006670F0" w:rsidRPr="006670F0">
        <w:rPr>
          <w:rFonts w:asciiTheme="minorHAnsi" w:hAnsiTheme="minorHAnsi"/>
          <w:b/>
          <w:sz w:val="16"/>
          <w:szCs w:val="16"/>
        </w:rPr>
        <w:t>Abdou W.M</w:t>
      </w:r>
      <w:r w:rsidR="006670F0" w:rsidRPr="006670F0">
        <w:rPr>
          <w:rFonts w:asciiTheme="minorHAnsi" w:hAnsiTheme="minorHAnsi"/>
          <w:sz w:val="16"/>
          <w:szCs w:val="16"/>
        </w:rPr>
        <w:t xml:space="preserve">., Ganoub N.A., Sabry E. Spiro- and substituted hexylthiophene-triazaphospholes and phosphoramidates as potent antineoplastic agents: synthesis, biological evaluation and SAR studies. </w:t>
      </w:r>
      <w:r w:rsidR="006670F0" w:rsidRPr="006670F0">
        <w:rPr>
          <w:rFonts w:asciiTheme="minorHAnsi" w:hAnsiTheme="minorHAnsi"/>
          <w:i/>
          <w:iCs/>
          <w:sz w:val="16"/>
          <w:szCs w:val="16"/>
        </w:rPr>
        <w:t>Monatsh. Chem</w:t>
      </w:r>
      <w:r w:rsidR="006670F0" w:rsidRPr="006670F0">
        <w:rPr>
          <w:rFonts w:asciiTheme="minorHAnsi" w:hAnsiTheme="minorHAnsi"/>
          <w:sz w:val="16"/>
          <w:szCs w:val="16"/>
        </w:rPr>
        <w:t>.</w:t>
      </w:r>
      <w:r w:rsidR="006670F0" w:rsidRPr="006670F0">
        <w:rPr>
          <w:rFonts w:asciiTheme="minorHAnsi" w:hAnsiTheme="minorHAnsi"/>
          <w:b/>
          <w:bCs/>
          <w:sz w:val="16"/>
          <w:szCs w:val="16"/>
        </w:rPr>
        <w:t>2016</w:t>
      </w:r>
      <w:r w:rsidR="006670F0" w:rsidRPr="006670F0">
        <w:rPr>
          <w:rFonts w:asciiTheme="minorHAnsi" w:hAnsiTheme="minorHAnsi"/>
          <w:sz w:val="16"/>
          <w:szCs w:val="16"/>
        </w:rPr>
        <w:t>,</w:t>
      </w:r>
      <w:r w:rsidR="006670F0" w:rsidRPr="006670F0">
        <w:rPr>
          <w:rFonts w:asciiTheme="minorHAnsi" w:hAnsiTheme="minorHAnsi"/>
          <w:b/>
          <w:bCs/>
          <w:sz w:val="16"/>
          <w:szCs w:val="16"/>
        </w:rPr>
        <w:t xml:space="preserve"> </w:t>
      </w:r>
      <w:r w:rsidR="006670F0" w:rsidRPr="006670F0">
        <w:rPr>
          <w:rFonts w:asciiTheme="minorHAnsi" w:hAnsiTheme="minorHAnsi"/>
          <w:i/>
          <w:iCs/>
          <w:sz w:val="16"/>
          <w:szCs w:val="16"/>
        </w:rPr>
        <w:t>147</w:t>
      </w:r>
      <w:r w:rsidR="006670F0" w:rsidRPr="006670F0">
        <w:rPr>
          <w:rFonts w:asciiTheme="minorHAnsi" w:hAnsiTheme="minorHAnsi"/>
          <w:sz w:val="16"/>
          <w:szCs w:val="16"/>
        </w:rPr>
        <w:t>, 619–626: Doi:  10.1007/s00706-015-1542-4.</w:t>
      </w:r>
    </w:p>
    <w:p w:rsidR="00AE3E37" w:rsidRPr="006670F0" w:rsidRDefault="00AE3E37" w:rsidP="006670F0">
      <w:pPr>
        <w:pStyle w:val="BodyText"/>
        <w:spacing w:after="120"/>
        <w:ind w:left="383" w:right="138" w:hanging="284"/>
        <w:jc w:val="both"/>
        <w:rPr>
          <w:rFonts w:ascii="Calibri" w:hAnsi="Calibri" w:cstheme="minorBidi"/>
          <w:sz w:val="16"/>
          <w:szCs w:val="16"/>
        </w:rPr>
      </w:pPr>
    </w:p>
    <w:p w:rsidR="00AE3E37" w:rsidRPr="006670F0" w:rsidRDefault="008756E6">
      <w:pPr>
        <w:spacing w:line="200" w:lineRule="exact"/>
        <w:jc w:val="both"/>
        <w:rPr>
          <w:rFonts w:ascii="Calibri" w:hAnsi="Calibri"/>
        </w:rPr>
        <w:sectPr w:rsidR="00AE3E37" w:rsidRPr="006670F0">
          <w:type w:val="continuous"/>
          <w:pgSz w:w="11910" w:h="16840"/>
          <w:pgMar w:top="1740" w:right="600" w:bottom="840" w:left="620" w:header="720" w:footer="720" w:gutter="0"/>
          <w:cols w:num="2" w:space="720" w:equalWidth="0">
            <w:col w:w="5214" w:space="138"/>
            <w:col w:w="5338"/>
          </w:cols>
        </w:sectPr>
      </w:pPr>
      <w:r w:rsidRPr="006670F0">
        <w:rPr>
          <w:rFonts w:ascii="Calibri" w:hAnsi="Calibri"/>
        </w:rPr>
        <w:t xml:space="preserve">   </w:t>
      </w:r>
    </w:p>
    <w:p w:rsidR="00AE3E37" w:rsidRPr="006670F0" w:rsidRDefault="00AE3E37">
      <w:pPr>
        <w:pStyle w:val="BodyText"/>
        <w:rPr>
          <w:rFonts w:ascii="Calibri" w:hAnsi="Calibri"/>
          <w:sz w:val="20"/>
        </w:rPr>
      </w:pPr>
    </w:p>
    <w:p w:rsidR="00AE3E37" w:rsidRPr="006670F0" w:rsidRDefault="00292ED9">
      <w:pPr>
        <w:pStyle w:val="BodyText"/>
        <w:spacing w:line="40" w:lineRule="exact"/>
        <w:ind w:left="2202"/>
        <w:rPr>
          <w:rFonts w:ascii="Calibri" w:hAnsi="Calibri"/>
          <w:sz w:val="4"/>
        </w:rPr>
      </w:pPr>
      <w:r w:rsidRPr="006670F0">
        <w:rPr>
          <w:rFonts w:ascii="Calibri" w:hAns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536E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6670F0" w:rsidRDefault="008756E6" w:rsidP="00654037">
      <w:pPr>
        <w:spacing w:before="92"/>
        <w:ind w:right="4234"/>
        <w:rPr>
          <w:rFonts w:ascii="Calibri" w:hAnsi="Calibri"/>
        </w:rPr>
      </w:pPr>
      <w:r w:rsidRPr="006670F0">
        <w:rPr>
          <w:rFonts w:ascii="Calibri" w:hAnsi="Calibri"/>
          <w:noProof/>
        </w:rPr>
        <w:t xml:space="preserve">          </w:t>
      </w:r>
      <w:r w:rsidR="00654037" w:rsidRPr="006670F0">
        <w:rPr>
          <w:rFonts w:ascii="Calibri" w:hAnsi="Calibri"/>
          <w:noProof/>
        </w:rPr>
        <w:drawing>
          <wp:inline distT="0" distB="0" distL="0" distR="0" wp14:anchorId="330C47B5" wp14:editId="7927B2C2">
            <wp:extent cx="47775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7753" cy="625069"/>
                    </a:xfrm>
                    <a:prstGeom prst="rect">
                      <a:avLst/>
                    </a:prstGeom>
                    <a:noFill/>
                    <a:ln>
                      <a:noFill/>
                    </a:ln>
                  </pic:spPr>
                </pic:pic>
              </a:graphicData>
            </a:graphic>
          </wp:inline>
        </w:drawing>
      </w:r>
      <w:r w:rsidRPr="006670F0">
        <w:rPr>
          <w:rFonts w:ascii="Calibri" w:hAnsi="Calibri"/>
          <w:noProof/>
        </w:rPr>
        <w:t xml:space="preserve">    </w:t>
      </w:r>
      <w:r w:rsidR="00A9710C" w:rsidRPr="006670F0">
        <w:rPr>
          <w:rFonts w:ascii="Calibri" w:hAnsi="Calibri"/>
          <w:color w:val="BF5A14"/>
        </w:rPr>
        <w:t>Biography</w:t>
      </w:r>
      <w:r w:rsidR="00404E5B" w:rsidRPr="006670F0">
        <w:rPr>
          <w:rFonts w:ascii="Calibri" w:hAnsi="Calibri"/>
          <w:color w:val="BF5A14"/>
        </w:rPr>
        <w:t xml:space="preserve"> (150 word limit)</w:t>
      </w:r>
    </w:p>
    <w:p w:rsidR="00654037" w:rsidRPr="00654037" w:rsidRDefault="00654037" w:rsidP="00654037">
      <w:pPr>
        <w:spacing w:after="120"/>
        <w:ind w:right="43"/>
        <w:jc w:val="both"/>
        <w:rPr>
          <w:rFonts w:asciiTheme="majorBidi" w:hAnsiTheme="majorBidi" w:cstheme="majorBidi"/>
          <w:i/>
          <w:iCs/>
          <w:sz w:val="14"/>
          <w:szCs w:val="14"/>
        </w:rPr>
      </w:pPr>
      <w:r w:rsidRPr="00654037">
        <w:rPr>
          <w:rFonts w:asciiTheme="majorBidi" w:hAnsiTheme="majorBidi" w:cstheme="majorBidi"/>
          <w:sz w:val="14"/>
          <w:szCs w:val="14"/>
        </w:rPr>
        <w:t xml:space="preserve">Dr. Wafaa Abdou is a Professor of Applied Organic Chemistry Since 1986; and </w:t>
      </w:r>
      <w:r w:rsidRPr="00654037">
        <w:rPr>
          <w:rFonts w:asciiTheme="majorBidi" w:hAnsiTheme="majorBidi" w:cstheme="majorBidi"/>
          <w:i/>
          <w:iCs/>
          <w:sz w:val="14"/>
          <w:szCs w:val="14"/>
        </w:rPr>
        <w:t>D. Sc</w:t>
      </w:r>
      <w:r w:rsidRPr="00654037">
        <w:rPr>
          <w:rFonts w:asciiTheme="majorBidi" w:hAnsiTheme="majorBidi" w:cstheme="majorBidi"/>
          <w:sz w:val="14"/>
          <w:szCs w:val="14"/>
        </w:rPr>
        <w:t>. Professor: 2003/RSC, U.K. She is a Principal Investigator of a Research Group working on biophosphorus chemistry at National Research Centre (NRC), Cairo, Egypt. She has been awarded several research grants from USA, Germany, Britain and Poland. The most important awards and prizes: NRC’s Scientific Appreciation Award, 2010;  Scientific Supremacy Prize NRC, 1998; State's Medal of Science and Art of the First Rank, 1995; State’s Prize of Chemistry in 1992; Encouragement Prize, NRC, 1986; and Bestowed the title: Woman of the Year 2004 (in Chemistry). She has &gt;167-Publications have been published in International Scientific Journals, generally deals with organophosphorus chemistry, heterocyclic chemistry and photochemistry. These publications are cited &gt;1650 times by others in the International Journals; Supervised or shared in the supervision of &gt; 40 graduate degrees.</w:t>
      </w:r>
    </w:p>
    <w:p w:rsidR="00AE3E37" w:rsidRPr="006670F0" w:rsidRDefault="00A9710C" w:rsidP="006670F0">
      <w:pPr>
        <w:spacing w:before="62"/>
        <w:ind w:left="4217" w:right="4235"/>
        <w:jc w:val="center"/>
        <w:rPr>
          <w:rFonts w:ascii="Calibri" w:hAnsi="Calibri"/>
          <w:sz w:val="14"/>
        </w:rPr>
      </w:pPr>
      <w:r w:rsidRPr="006670F0">
        <w:rPr>
          <w:rFonts w:ascii="Calibri" w:hAnsi="Calibri"/>
          <w:sz w:val="14"/>
        </w:rPr>
        <w:t xml:space="preserve">Email: </w:t>
      </w:r>
      <w:r w:rsidR="006670F0">
        <w:rPr>
          <w:rFonts w:ascii="Calibri" w:hAnsi="Calibri"/>
          <w:sz w:val="14"/>
        </w:rPr>
        <w:t>wafaaabdou04@gmail.com</w:t>
      </w:r>
      <w:hyperlink r:id="rId12" w:history="1"/>
    </w:p>
    <w:p w:rsidR="00AE3E37" w:rsidRPr="006670F0" w:rsidRDefault="00292ED9">
      <w:pPr>
        <w:pStyle w:val="BodyText"/>
        <w:spacing w:before="2"/>
        <w:rPr>
          <w:rFonts w:ascii="Calibri" w:hAnsi="Calibri"/>
          <w:sz w:val="19"/>
        </w:rPr>
      </w:pPr>
      <w:r w:rsidRPr="006670F0">
        <w:rPr>
          <w:rFonts w:ascii="Calibri" w:hAnsi="Calibri"/>
          <w:noProof/>
        </w:rPr>
        <mc:AlternateContent>
          <mc:Choice Requires="wps">
            <w:drawing>
              <wp:anchor distT="0" distB="0" distL="0" distR="0" simplePos="0" relativeHeight="25165568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E747B"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670F0" w:rsidRDefault="00A9710C" w:rsidP="00FB4FE0">
      <w:pPr>
        <w:spacing w:before="39"/>
        <w:ind w:left="100"/>
        <w:rPr>
          <w:rFonts w:ascii="Calibri" w:hAnsi="Calibri"/>
          <w:b/>
          <w:sz w:val="20"/>
        </w:rPr>
      </w:pPr>
      <w:r w:rsidRPr="006670F0">
        <w:rPr>
          <w:rFonts w:ascii="Calibri" w:hAnsi="Calibri"/>
          <w:b/>
          <w:sz w:val="20"/>
        </w:rPr>
        <w:t>Notes/Comments:</w:t>
      </w:r>
      <w:r w:rsidR="00FB4FE0">
        <w:rPr>
          <w:rFonts w:ascii="Calibri" w:hAnsi="Calibri"/>
          <w:b/>
          <w:sz w:val="20"/>
        </w:rPr>
        <w:t xml:space="preserve"> Plz send me the acceptance as soon as you can. The acceptance should be ORAL, so I can get a financial support. Thanks</w:t>
      </w:r>
      <w:bookmarkStart w:id="0" w:name="_GoBack"/>
      <w:bookmarkEnd w:id="0"/>
      <w:r w:rsidR="00FB4FE0">
        <w:rPr>
          <w:rFonts w:ascii="Calibri" w:hAnsi="Calibri"/>
          <w:b/>
          <w:sz w:val="20"/>
        </w:rPr>
        <w:t xml:space="preserve">   </w:t>
      </w:r>
    </w:p>
    <w:p w:rsidR="00AE3E37" w:rsidRPr="006670F0" w:rsidRDefault="00AE3E37">
      <w:pPr>
        <w:rPr>
          <w:rFonts w:ascii="Calibri" w:hAnsi="Calibri"/>
          <w:sz w:val="24"/>
        </w:rPr>
        <w:sectPr w:rsidR="00AE3E37" w:rsidRPr="006670F0">
          <w:type w:val="continuous"/>
          <w:pgSz w:w="11910" w:h="16840"/>
          <w:pgMar w:top="1740" w:right="600" w:bottom="840" w:left="620" w:header="720" w:footer="720" w:gutter="0"/>
          <w:cols w:space="720"/>
        </w:sectPr>
      </w:pPr>
    </w:p>
    <w:p w:rsidR="00AE3E37" w:rsidRPr="006670F0" w:rsidRDefault="00AE3E37">
      <w:pPr>
        <w:pStyle w:val="BodyText"/>
        <w:spacing w:before="3"/>
        <w:rPr>
          <w:rFonts w:ascii="Calibri" w:hAnsi="Calibri"/>
          <w:sz w:val="26"/>
        </w:rPr>
      </w:pPr>
    </w:p>
    <w:sectPr w:rsidR="00AE3E37" w:rsidRPr="006670F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F29" w:rsidRDefault="00F30F29">
      <w:r>
        <w:separator/>
      </w:r>
    </w:p>
  </w:endnote>
  <w:endnote w:type="continuationSeparator" w:id="0">
    <w:p w:rsidR="00F30F29" w:rsidRDefault="00F30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F29" w:rsidRDefault="00F30F29">
      <w:r>
        <w:separator/>
      </w:r>
    </w:p>
  </w:footnote>
  <w:footnote w:type="continuationSeparator" w:id="0">
    <w:p w:rsidR="00F30F29" w:rsidRDefault="00F30F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C074E5"/>
    <w:multiLevelType w:val="hybridMultilevel"/>
    <w:tmpl w:val="AAD2C63C"/>
    <w:lvl w:ilvl="0" w:tplc="A920CD14">
      <w:start w:val="1"/>
      <w:numFmt w:val="decimal"/>
      <w:lvlText w:val="%1."/>
      <w:lvlJc w:val="left"/>
      <w:pPr>
        <w:ind w:left="720" w:hanging="360"/>
      </w:pPr>
      <w:rPr>
        <w:rFonts w:ascii="Times New Roman" w:eastAsia="Times New Roman" w:hAnsi="Times New Roman" w:cs="Traditional Arabic"/>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6894"/>
    <w:rsid w:val="000E2911"/>
    <w:rsid w:val="001263DF"/>
    <w:rsid w:val="00186D09"/>
    <w:rsid w:val="00292ED9"/>
    <w:rsid w:val="003E1E3A"/>
    <w:rsid w:val="00404E5B"/>
    <w:rsid w:val="00414F7B"/>
    <w:rsid w:val="004355DC"/>
    <w:rsid w:val="004749B4"/>
    <w:rsid w:val="00494130"/>
    <w:rsid w:val="004F3523"/>
    <w:rsid w:val="005973B9"/>
    <w:rsid w:val="005B3A56"/>
    <w:rsid w:val="006060CE"/>
    <w:rsid w:val="0063497F"/>
    <w:rsid w:val="00654037"/>
    <w:rsid w:val="006670F0"/>
    <w:rsid w:val="007B5308"/>
    <w:rsid w:val="00873DF0"/>
    <w:rsid w:val="008756E6"/>
    <w:rsid w:val="009B2D44"/>
    <w:rsid w:val="009C6E7F"/>
    <w:rsid w:val="00A07E82"/>
    <w:rsid w:val="00A9710C"/>
    <w:rsid w:val="00AE3E37"/>
    <w:rsid w:val="00B21A57"/>
    <w:rsid w:val="00C33602"/>
    <w:rsid w:val="00CD6F55"/>
    <w:rsid w:val="00DE3104"/>
    <w:rsid w:val="00F30F29"/>
    <w:rsid w:val="00F72EEA"/>
    <w:rsid w:val="00F84CAE"/>
    <w:rsid w:val="00FB4FE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39793D-7AD1-4D18-9643-EAAC7BBA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filiation">
    <w:name w:val="Afiliation"/>
    <w:basedOn w:val="Normal"/>
    <w:rsid w:val="00186D09"/>
    <w:pPr>
      <w:widowControl/>
      <w:suppressAutoHyphens/>
      <w:jc w:val="both"/>
    </w:pPr>
    <w:rPr>
      <w:rFonts w:ascii="Times New Roman" w:eastAsia="Times New Roman" w:hAnsi="Times New Roman" w:cs="Times New Roman"/>
      <w:i/>
      <w:sz w:val="20"/>
      <w:szCs w:val="20"/>
      <w:lang w:val="pl-PL" w:eastAsia="ar-SA"/>
    </w:rPr>
  </w:style>
  <w:style w:type="paragraph" w:customStyle="1" w:styleId="Default">
    <w:name w:val="Default"/>
    <w:rsid w:val="00186D09"/>
    <w:pPr>
      <w:widowControl/>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uiPriority w:val="99"/>
    <w:unhideWhenUsed/>
    <w:rsid w:val="006670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6670F0"/>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2017-02-28T16:25:00Z</dcterms:created>
  <dcterms:modified xsi:type="dcterms:W3CDTF">2017-02-28T16:27:00Z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