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C9" w:rsidRDefault="00595FC9" w:rsidP="00595F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Abstract:</w:t>
      </w:r>
    </w:p>
    <w:p w:rsidR="00595FC9" w:rsidRPr="00E87991" w:rsidRDefault="00595FC9" w:rsidP="00595FC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991">
        <w:rPr>
          <w:rFonts w:ascii="Times New Roman" w:hAnsi="Times New Roman" w:cs="Times New Roman"/>
          <w:sz w:val="24"/>
          <w:szCs w:val="24"/>
        </w:rPr>
        <w:t xml:space="preserve">In this study a simple and rapid liquid chromatography–tandem mass spectrometry (LC–MS/MS) method was developed and validated for simultaneous determination of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kaempferol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87991">
        <w:rPr>
          <w:rFonts w:ascii="Times New Roman" w:hAnsi="Times New Roman" w:cs="Times New Roman"/>
          <w:i/>
          <w:iCs/>
          <w:sz w:val="24"/>
          <w:szCs w:val="24"/>
        </w:rPr>
        <w:t>Thespesia</w:t>
      </w:r>
      <w:proofErr w:type="spellEnd"/>
      <w:r w:rsidRPr="00E879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87991">
        <w:rPr>
          <w:rFonts w:ascii="Times New Roman" w:hAnsi="Times New Roman" w:cs="Times New Roman"/>
          <w:i/>
          <w:iCs/>
          <w:sz w:val="24"/>
          <w:szCs w:val="24"/>
        </w:rPr>
        <w:t>populnea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extract.  The compounds were eluted using G</w:t>
      </w:r>
      <w:r w:rsidRPr="00E87991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E87991">
        <w:rPr>
          <w:rFonts w:ascii="Times New Roman" w:hAnsi="Times New Roman" w:cs="Times New Roman"/>
          <w:spacing w:val="1"/>
          <w:sz w:val="24"/>
          <w:szCs w:val="24"/>
        </w:rPr>
        <w:t>mi</w:t>
      </w:r>
      <w:r w:rsidRPr="00E87991">
        <w:rPr>
          <w:rFonts w:ascii="Times New Roman" w:hAnsi="Times New Roman" w:cs="Times New Roman"/>
          <w:sz w:val="24"/>
          <w:szCs w:val="24"/>
        </w:rPr>
        <w:t>ni</w:t>
      </w:r>
      <w:r w:rsidRPr="00E87991">
        <w:rPr>
          <w:rFonts w:ascii="Times New Roman" w:hAnsi="Times New Roman" w:cs="Times New Roman"/>
          <w:spacing w:val="1"/>
          <w:sz w:val="24"/>
          <w:szCs w:val="24"/>
        </w:rPr>
        <w:t xml:space="preserve"> C</w:t>
      </w:r>
      <w:r w:rsidRPr="00E87991">
        <w:rPr>
          <w:rFonts w:ascii="Times New Roman" w:hAnsi="Times New Roman" w:cs="Times New Roman"/>
          <w:sz w:val="24"/>
          <w:szCs w:val="24"/>
        </w:rPr>
        <w:t xml:space="preserve">18, </w:t>
      </w:r>
      <w:r w:rsidRPr="00E87991">
        <w:rPr>
          <w:rFonts w:ascii="Times New Roman" w:hAnsi="Times New Roman" w:cs="Times New Roman"/>
          <w:spacing w:val="-1"/>
          <w:sz w:val="24"/>
          <w:szCs w:val="24"/>
        </w:rPr>
        <w:t>(</w:t>
      </w:r>
      <w:r w:rsidRPr="00E87991">
        <w:rPr>
          <w:rFonts w:ascii="Times New Roman" w:hAnsi="Times New Roman" w:cs="Times New Roman"/>
          <w:sz w:val="24"/>
          <w:szCs w:val="24"/>
        </w:rPr>
        <w:t>50</w:t>
      </w:r>
      <w:r w:rsidRPr="00E87991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E87991">
        <w:rPr>
          <w:rFonts w:ascii="Times New Roman" w:hAnsi="Times New Roman" w:cs="Times New Roman"/>
          <w:sz w:val="24"/>
          <w:szCs w:val="24"/>
        </w:rPr>
        <w:t>mx2</w:t>
      </w:r>
      <w:r w:rsidRPr="00E87991">
        <w:rPr>
          <w:rFonts w:ascii="Times New Roman" w:hAnsi="Times New Roman" w:cs="Times New Roman"/>
          <w:spacing w:val="-2"/>
          <w:sz w:val="24"/>
          <w:szCs w:val="24"/>
        </w:rPr>
        <w:t>.</w:t>
      </w:r>
      <w:r w:rsidRPr="00E87991">
        <w:rPr>
          <w:rFonts w:ascii="Times New Roman" w:hAnsi="Times New Roman" w:cs="Times New Roman"/>
          <w:sz w:val="24"/>
          <w:szCs w:val="24"/>
        </w:rPr>
        <w:t>0</w:t>
      </w:r>
      <w:r w:rsidRPr="00E87991">
        <w:rPr>
          <w:rFonts w:ascii="Times New Roman" w:hAnsi="Times New Roman" w:cs="Times New Roman"/>
          <w:spacing w:val="1"/>
          <w:sz w:val="24"/>
          <w:szCs w:val="24"/>
        </w:rPr>
        <w:t>mm</w:t>
      </w:r>
      <w:r w:rsidRPr="00E87991">
        <w:rPr>
          <w:rFonts w:ascii="Times New Roman" w:hAnsi="Times New Roman" w:cs="Times New Roman"/>
          <w:sz w:val="24"/>
          <w:szCs w:val="24"/>
        </w:rPr>
        <w:t>, 3</w:t>
      </w:r>
      <w:r w:rsidRPr="00E87991">
        <w:rPr>
          <w:rFonts w:ascii="Times New Roman" w:hAnsi="Times New Roman" w:cs="Times New Roman"/>
          <w:spacing w:val="1"/>
          <w:sz w:val="24"/>
          <w:szCs w:val="24"/>
        </w:rPr>
        <w:t>μm</w:t>
      </w:r>
      <w:r w:rsidRPr="00E87991">
        <w:rPr>
          <w:rFonts w:ascii="Times New Roman" w:hAnsi="Times New Roman" w:cs="Times New Roman"/>
          <w:sz w:val="24"/>
          <w:szCs w:val="24"/>
        </w:rPr>
        <w:t xml:space="preserve">) with the mobile phase consisting of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acetonitrile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and 0.3% Formic acid in water at the flow rate of 0.400</w:t>
      </w:r>
      <w:r w:rsidRPr="00E87991">
        <w:rPr>
          <w:rFonts w:ascii="Times New Roman" w:hAnsi="Times New Roman" w:cs="Times New Roman"/>
          <w:spacing w:val="3"/>
          <w:sz w:val="24"/>
          <w:szCs w:val="24"/>
        </w:rPr>
        <w:t>m</w:t>
      </w:r>
      <w:r w:rsidRPr="00E87991">
        <w:rPr>
          <w:rFonts w:ascii="Times New Roman" w:hAnsi="Times New Roman" w:cs="Times New Roman"/>
          <w:spacing w:val="-5"/>
          <w:sz w:val="24"/>
          <w:szCs w:val="24"/>
        </w:rPr>
        <w:t>L</w:t>
      </w:r>
      <w:r w:rsidRPr="00E87991">
        <w:rPr>
          <w:rFonts w:ascii="Times New Roman" w:hAnsi="Times New Roman" w:cs="Times New Roman"/>
          <w:spacing w:val="1"/>
          <w:sz w:val="24"/>
          <w:szCs w:val="24"/>
        </w:rPr>
        <w:t>/mi</w:t>
      </w:r>
      <w:r w:rsidRPr="00E87991">
        <w:rPr>
          <w:rFonts w:ascii="Times New Roman" w:hAnsi="Times New Roman" w:cs="Times New Roman"/>
          <w:sz w:val="24"/>
          <w:szCs w:val="24"/>
        </w:rPr>
        <w:t>n. The assay exhibited a linear dynamic range of 25–2500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87991">
        <w:rPr>
          <w:rFonts w:ascii="Times New Roman" w:hAnsi="Times New Roman" w:cs="Times New Roman"/>
          <w:sz w:val="24"/>
          <w:szCs w:val="24"/>
        </w:rPr>
        <w:t xml:space="preserve">g/ml for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kaempferol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. The values for both Intraday and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Interday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precision and accuracy were well within the generally accepted criteria for analytical methods (&lt;15%). Selectivity, linearity, limit of detection (LOD), limit of quantification (LOQ), accuracy and precision were evaluated for all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analytes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. The proposed method is more accurate and sensitive can be used for the routine quantification of the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kaempferol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quercetin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in the herbal extracts as well as </w:t>
      </w:r>
      <w:proofErr w:type="spellStart"/>
      <w:r w:rsidRPr="00E87991">
        <w:rPr>
          <w:rFonts w:ascii="Times New Roman" w:hAnsi="Times New Roman" w:cs="Times New Roman"/>
          <w:sz w:val="24"/>
          <w:szCs w:val="24"/>
        </w:rPr>
        <w:t>polyherbal</w:t>
      </w:r>
      <w:proofErr w:type="spellEnd"/>
      <w:r w:rsidRPr="00E87991">
        <w:rPr>
          <w:rFonts w:ascii="Times New Roman" w:hAnsi="Times New Roman" w:cs="Times New Roman"/>
          <w:sz w:val="24"/>
          <w:szCs w:val="24"/>
        </w:rPr>
        <w:t xml:space="preserve"> formulations. </w:t>
      </w:r>
    </w:p>
    <w:p w:rsidR="00713733" w:rsidRDefault="00713733"/>
    <w:sectPr w:rsidR="00713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5FC9"/>
    <w:rsid w:val="00595FC9"/>
    <w:rsid w:val="00713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2016-12-05T08:42:00Z</dcterms:created>
  <dcterms:modified xsi:type="dcterms:W3CDTF">2016-12-05T08:42:00Z</dcterms:modified>
</cp:coreProperties>
</file>