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AdobeFangsongStd-Regular" w:cs="AdobeFangsongStd-Regular" w:eastAsia="AdobeFangsongStd-Regular"/>
          <w:sz w:val="32"/>
          <w:szCs w:val="32"/>
        </w:rPr>
      </w:pPr>
      <w:r>
        <w:rPr>
          <w:rFonts w:ascii="Times New Roman" w:cs="Times New Roman" w:hAnsi="Times New Roman"/>
          <w:b/>
          <w:sz w:val="24"/>
          <w:szCs w:val="24"/>
        </w:rPr>
        <w:t>Formulation, Development &amp;</w:t>
      </w:r>
      <w:r>
        <w:rPr>
          <w:rFonts w:ascii="Times New Roman" w:cs="Times New Roman" w:hAnsi="Times New Roman"/>
          <w:b/>
          <w:sz w:val="24"/>
          <w:szCs w:val="24"/>
        </w:rPr>
        <w:t xml:space="preserve"> E</w:t>
      </w:r>
      <w:r>
        <w:rPr>
          <w:rFonts w:ascii="Times New Roman" w:cs="Times New Roman" w:hAnsi="Times New Roman"/>
          <w:b/>
          <w:sz w:val="24"/>
          <w:szCs w:val="24"/>
        </w:rPr>
        <w:t>v</w:t>
      </w:r>
      <w:r>
        <w:rPr>
          <w:rFonts w:ascii="Times New Roman" w:cs="Times New Roman" w:hAnsi="Times New Roman"/>
          <w:b/>
          <w:sz w:val="24"/>
          <w:szCs w:val="24"/>
        </w:rPr>
        <w:t>aluation of</w:t>
      </w:r>
      <w:r>
        <w:rPr>
          <w:rFonts w:ascii="Times New Roman" w:cs="Times New Roman" w:hAnsi="Times New Roman"/>
          <w:b/>
          <w:sz w:val="24"/>
          <w:szCs w:val="24"/>
        </w:rPr>
        <w:t xml:space="preserve"> P</w:t>
      </w:r>
      <w:r>
        <w:rPr>
          <w:rFonts w:ascii="Times New Roman" w:cs="Times New Roman" w:hAnsi="Times New Roman"/>
          <w:b/>
          <w:sz w:val="24"/>
          <w:szCs w:val="24"/>
        </w:rPr>
        <w:t xml:space="preserve">repared </w:t>
      </w:r>
      <w:r>
        <w:rPr>
          <w:rFonts w:ascii="Times New Roman" w:cs="Times New Roman" w:hAnsi="Times New Roman"/>
          <w:b/>
          <w:sz w:val="24"/>
          <w:szCs w:val="24"/>
        </w:rPr>
        <w:t>O</w:t>
      </w:r>
      <w:r>
        <w:rPr>
          <w:rFonts w:ascii="Times New Roman" w:cs="Times New Roman" w:hAnsi="Times New Roman"/>
          <w:b/>
          <w:sz w:val="24"/>
          <w:szCs w:val="24"/>
        </w:rPr>
        <w:t>intment</w:t>
      </w:r>
      <w:r>
        <w:rPr>
          <w:rFonts w:ascii="Times New Roman" w:cs="Times New Roman" w:hAnsi="Times New Roman"/>
          <w:b/>
          <w:sz w:val="24"/>
          <w:szCs w:val="24"/>
        </w:rPr>
        <w:t xml:space="preserve"> for </w:t>
      </w:r>
      <w:r>
        <w:rPr>
          <w:rFonts w:ascii="Times New Roman" w:cs="Times New Roman" w:hAnsi="Times New Roman"/>
          <w:b/>
          <w:sz w:val="24"/>
          <w:szCs w:val="24"/>
        </w:rPr>
        <w:t>Treatment of Piles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cs="Times New Roman" w:hAnsi="Times New Roman"/>
          <w:b/>
          <w:sz w:val="24"/>
          <w:szCs w:val="24"/>
        </w:rPr>
        <w:t>ABSTRACT</w:t>
      </w:r>
      <w:r>
        <w:rPr>
          <w:rFonts w:ascii="Times New Roman" w:cs="Times New Roman" w:hAnsi="Times New Roman"/>
          <w:b/>
          <w:sz w:val="24"/>
          <w:szCs w:val="24"/>
        </w:rPr>
        <w:t>:</w:t>
      </w:r>
    </w:p>
    <w:p>
      <w:pPr>
        <w:pStyle w:val="style0"/>
        <w:spacing w:after="0"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Name 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.P.B.Cholke</w:t>
      </w:r>
    </w:p>
    <w:p>
      <w:pPr>
        <w:pStyle w:val="style0"/>
        <w:spacing w:after="0"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bidi="mr-IN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4667250</wp:posOffset>
            </wp:positionH>
            <wp:positionV relativeFrom="paragraph">
              <wp:posOffset>15240</wp:posOffset>
            </wp:positionV>
            <wp:extent cx="1743075" cy="1304925"/>
            <wp:effectExtent l="19050" t="0" r="9525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43075" cy="13049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Savitribai phule Pune University,Maharashtra,India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  <w:color w:val="000000"/>
        </w:rPr>
        <w:t>This research work</w:t>
      </w:r>
      <w:r>
        <w:rPr>
          <w:b w:val="false"/>
          <w:color w:val="000000"/>
        </w:rPr>
        <w:t xml:space="preserve"> aimed to</w:t>
      </w:r>
      <w:r>
        <w:rPr>
          <w:b w:val="false"/>
        </w:rPr>
        <w:t xml:space="preserve"> development of formulation containing 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 xml:space="preserve">herbal ingredients in ointment dosage form for use in the cases 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>of piles &amp; evaluation of prepared herbal ointment for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 xml:space="preserve"> antimicrobial &amp; laxative activities.</w:t>
      </w:r>
      <w:r>
        <w:rPr>
          <w:b w:val="false"/>
        </w:rPr>
        <w:t xml:space="preserve"> </w:t>
      </w:r>
      <w:r>
        <w:rPr>
          <w:b w:val="false"/>
        </w:rPr>
        <w:t xml:space="preserve">This prepared ointment 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>contains</w:t>
      </w:r>
      <w:r>
        <w:rPr>
          <w:b w:val="false"/>
        </w:rPr>
        <w:t xml:space="preserve"> </w:t>
      </w:r>
      <w:r>
        <w:rPr>
          <w:b w:val="false"/>
        </w:rPr>
        <w:t>Brimstone, Camphor, Coconut oil, Chloramphenicol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 xml:space="preserve"> &amp; Lidocaine 3% (as per </w:t>
      </w:r>
      <w:r>
        <w:rPr>
          <w:b w:val="false"/>
        </w:rPr>
        <w:t xml:space="preserve">give </w:t>
      </w:r>
      <w:r>
        <w:rPr>
          <w:b w:val="false"/>
        </w:rPr>
        <w:t>Master Formula)</w:t>
      </w:r>
      <w:r>
        <w:rPr>
          <w:b w:val="false"/>
        </w:rPr>
        <w:t xml:space="preserve"> which is</w:t>
      </w:r>
      <w:r>
        <w:rPr>
          <w:b w:val="false"/>
        </w:rPr>
        <w:t xml:space="preserve"> effective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 xml:space="preserve"> in the treatments of all types of piles. For the preparation of this </w:t>
      </w:r>
    </w:p>
    <w:p>
      <w:pPr>
        <w:pStyle w:val="style4098"/>
        <w:spacing w:before="0" w:after="0"/>
        <w:ind w:left="0" w:firstLine="0" w:firstLineChars="0"/>
        <w:jc w:val="both"/>
        <w:rPr>
          <w:b w:val="false"/>
        </w:rPr>
      </w:pPr>
      <w:r>
        <w:rPr>
          <w:b w:val="false"/>
        </w:rPr>
        <w:t xml:space="preserve">ointment all ingredients are obtained from the natural sources. </w:t>
      </w:r>
      <w:r>
        <w:rPr>
          <w:b w:val="false"/>
        </w:rPr>
        <w:t xml:space="preserve">    </w:t>
      </w:r>
      <w:r>
        <w:rPr>
          <w:b w:val="false"/>
        </w:rPr>
        <w:t xml:space="preserve">              </w:t>
      </w:r>
      <w:r>
        <w:rPr>
          <w:b w:val="false"/>
        </w:rPr>
        <w:t xml:space="preserve"> Fig : </w:t>
      </w:r>
      <w:r>
        <w:rPr>
          <w:b w:val="false"/>
          <w:lang w:val="en-IN"/>
        </w:rPr>
        <w:t xml:space="preserve">Provisional patent </w:t>
      </w:r>
      <w:r>
        <w:rPr>
          <w:b w:val="false"/>
          <w:lang w:val="en-IN"/>
        </w:rPr>
        <w:t xml:space="preserve"> </w:t>
      </w:r>
    </w:p>
    <w:p>
      <w:pPr>
        <w:pStyle w:val="style0"/>
        <w:rPr>
          <w:b/>
        </w:rPr>
      </w:pPr>
      <w:r>
        <w:rPr>
          <w:lang w:eastAsia="ja-JP"/>
        </w:rPr>
        <w:t xml:space="preserve">                                                                                                             </w:t>
      </w:r>
      <w:r>
        <w:rPr>
          <w:lang w:eastAsia="ja-JP"/>
        </w:rPr>
        <w:t xml:space="preserve">                   </w:t>
      </w:r>
      <w:r>
        <w:rPr>
          <w:lang w:eastAsia="ja-JP"/>
        </w:rPr>
        <w:t xml:space="preserve">  </w:t>
      </w:r>
    </w:p>
    <w:p>
      <w:pPr>
        <w:pStyle w:val="style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     Recent Publication</w:t>
      </w:r>
      <w:r>
        <w:rPr>
          <w:b/>
          <w:bCs/>
          <w:sz w:val="28"/>
          <w:szCs w:val="28"/>
          <w:u w:val="single"/>
        </w:rPr>
        <w:t>:</w:t>
      </w:r>
    </w:p>
    <w:p>
      <w:pPr>
        <w:pStyle w:val="style0"/>
        <w:spacing w:after="0"/>
        <w:rPr/>
      </w:pPr>
      <w:r>
        <w:rPr/>
        <w:fldChar w:fldCharType="begin"/>
      </w:r>
      <w:r>
        <w:instrText xml:space="preserve"> HYPERLINK "javascript:void(0)" </w:instrText>
      </w:r>
      <w:r>
        <w:rPr/>
        <w:fldChar w:fldCharType="separate"/>
      </w:r>
      <w:r>
        <w:rPr>
          <w:rStyle w:val="style85"/>
          <w:rFonts w:ascii="Arial" w:cs="Arial" w:hAnsi="Arial"/>
          <w:color w:val="660099"/>
          <w:shd w:val="clear" w:color="auto" w:fill="ffffff"/>
        </w:rPr>
        <w:t>Development and Validation of Spectrophotometric Method for Clopidogrel bisulfate in pure and in film coated tablet dosage form</w:t>
      </w:r>
      <w:r>
        <w:rPr/>
        <w:fldChar w:fldCharType="end"/>
      </w:r>
    </w:p>
    <w:p>
      <w:pPr>
        <w:pStyle w:val="style0"/>
        <w:shd w:val="clear" w:color="auto" w:fill="ffffff"/>
        <w:spacing w:after="0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hAnsi="Arial"/>
          <w:color w:val="777777"/>
          <w:sz w:val="20"/>
          <w:szCs w:val="20"/>
        </w:rPr>
        <w:t>PB Cholke, R Ahmed, SZ Chemate, KR JadhavArch. Appl. Sci. Res 4 (1), 59-64</w:t>
      </w:r>
    </w:p>
    <w:p>
      <w:pPr>
        <w:pStyle w:val="style0"/>
        <w:spacing w:after="0"/>
        <w:rPr>
          <w:rFonts w:ascii="Arial" w:cs="Arial" w:hAnsi="Arial"/>
          <w:color w:val="222222"/>
          <w:sz w:val="20"/>
          <w:szCs w:val="20"/>
        </w:rPr>
      </w:pPr>
      <w:r>
        <w:rPr/>
        <w:fldChar w:fldCharType="begin"/>
      </w:r>
      <w:r>
        <w:instrText xml:space="preserve"> HYPERLINK "javascript:void(0)" </w:instrText>
      </w:r>
      <w:r>
        <w:rPr/>
        <w:fldChar w:fldCharType="separate"/>
      </w:r>
      <w:r>
        <w:rPr>
          <w:rStyle w:val="style85"/>
          <w:rFonts w:ascii="Arial" w:cs="Arial" w:hAnsi="Arial"/>
          <w:color w:val="660099"/>
        </w:rPr>
        <w:t>Extraction and GC-Ms Analysis of Orange (Citrus sinensis) Peel Oil</w:t>
      </w:r>
      <w:r>
        <w:rPr/>
        <w:fldChar w:fldCharType="end"/>
      </w:r>
    </w:p>
    <w:p>
      <w:pPr>
        <w:pStyle w:val="style0"/>
        <w:spacing w:after="0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hAnsi="Arial"/>
          <w:color w:val="777777"/>
          <w:sz w:val="20"/>
          <w:szCs w:val="20"/>
        </w:rPr>
        <w:t>PB Cholke, AK Bhor, AM Shete, RK Sonawane Res J Agri Bio Sci 2 (5), 41-51</w:t>
      </w:r>
    </w:p>
    <w:p>
      <w:pPr>
        <w:pStyle w:val="style0"/>
        <w:spacing w:after="0"/>
        <w:rPr>
          <w:rFonts w:ascii="Arial" w:cs="Arial" w:hAnsi="Arial"/>
          <w:color w:val="777777"/>
          <w:sz w:val="20"/>
          <w:szCs w:val="20"/>
        </w:rPr>
      </w:pPr>
      <w:r>
        <w:rPr/>
        <w:fldChar w:fldCharType="begin"/>
      </w:r>
      <w:r>
        <w:instrText xml:space="preserve"> HYPERLINK "javascript:void(0)" </w:instrText>
      </w:r>
      <w:r>
        <w:rPr/>
        <w:fldChar w:fldCharType="separate"/>
      </w:r>
      <w:r>
        <w:rPr>
          <w:rStyle w:val="style85"/>
          <w:rFonts w:ascii="Arial" w:cs="Arial" w:hAnsi="Arial"/>
          <w:color w:val="660099"/>
          <w:shd w:val="clear" w:color="auto" w:fill="ffffff"/>
        </w:rPr>
        <w:t>Development and validation of UV-Visible Spectroscopy method for simultaneous estimation of Saxagliptin hydrochoride and Metformin Hydrochoride in tablet dosage form</w:t>
      </w:r>
      <w:r>
        <w:rPr/>
        <w:fldChar w:fldCharType="end"/>
      </w:r>
    </w:p>
    <w:p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color w:val="777777"/>
          <w:sz w:val="20"/>
          <w:szCs w:val="20"/>
          <w:lang w:bidi="mr-IN"/>
        </w:rPr>
      </w:pPr>
      <w:r>
        <w:rPr>
          <w:rFonts w:ascii="Arial" w:cs="Arial" w:eastAsia="Times New Roman" w:hAnsi="Arial"/>
          <w:color w:val="777777"/>
          <w:sz w:val="20"/>
          <w:szCs w:val="20"/>
          <w:lang w:bidi="mr-IN"/>
        </w:rPr>
        <w:t>pravin cholke</w:t>
      </w:r>
    </w:p>
    <w:p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color w:val="777777"/>
          <w:sz w:val="20"/>
          <w:szCs w:val="20"/>
          <w:lang w:bidi="mr-IN"/>
        </w:rPr>
      </w:pPr>
      <w:r>
        <w:rPr>
          <w:rFonts w:ascii="Arial" w:cs="Arial" w:eastAsia="Times New Roman" w:hAnsi="Arial"/>
          <w:color w:val="777777"/>
          <w:sz w:val="20"/>
          <w:szCs w:val="20"/>
          <w:lang w:bidi="mr-IN"/>
        </w:rPr>
        <w:t>international journal of research in pharmacy and pharmaceutical Sciences 3 …</w:t>
      </w:r>
    </w:p>
    <w:p>
      <w:pPr>
        <w:pStyle w:val="style0"/>
        <w:spacing w:after="0"/>
        <w:rPr/>
      </w:pPr>
      <w:r>
        <w:rPr/>
        <w:fldChar w:fldCharType="begin"/>
      </w:r>
      <w:r>
        <w:instrText xml:space="preserve"> HYPERLINK "javascript:void(0)" </w:instrText>
      </w:r>
      <w:r>
        <w:rPr/>
        <w:fldChar w:fldCharType="separate"/>
      </w:r>
      <w:r>
        <w:rPr>
          <w:rStyle w:val="style85"/>
          <w:rFonts w:ascii="Arial" w:cs="Arial" w:hAnsi="Arial"/>
          <w:color w:val="660099"/>
          <w:shd w:val="clear" w:color="auto" w:fill="ffffff"/>
        </w:rPr>
        <w:t>Development and Validation of Spectrophotometric Method for Clopidogrel Bisulfate in Bulk and Formulations</w:t>
      </w:r>
      <w:r>
        <w:rPr/>
        <w:fldChar w:fldCharType="end"/>
      </w:r>
    </w:p>
    <w:p>
      <w:pPr>
        <w:pStyle w:val="style0"/>
        <w:shd w:val="clear" w:color="auto" w:fill="ffffff"/>
        <w:spacing w:after="0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hAnsi="Arial"/>
          <w:color w:val="777777"/>
          <w:sz w:val="20"/>
          <w:szCs w:val="20"/>
        </w:rPr>
        <w:t>P Cholke, YN Ingale, AS Gopale, K Jadhav, SZ Chemate</w:t>
      </w:r>
    </w:p>
    <w:p>
      <w:pPr>
        <w:pStyle w:val="style0"/>
        <w:shd w:val="clear" w:color="auto" w:fill="ffffff"/>
        <w:spacing w:after="0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hAnsi="Arial"/>
          <w:color w:val="777777"/>
          <w:sz w:val="20"/>
          <w:szCs w:val="20"/>
        </w:rPr>
        <w:t>Int. J. Chem. Sci 10, 449-456</w:t>
      </w:r>
    </w:p>
    <w:p>
      <w:pPr>
        <w:pStyle w:val="style0"/>
        <w:spacing w:after="0"/>
        <w:rPr/>
      </w:pPr>
      <w:r>
        <w:rPr/>
        <w:fldChar w:fldCharType="begin"/>
      </w:r>
      <w:r>
        <w:instrText xml:space="preserve"> HYPERLINK "javascript:void(0)" </w:instrText>
      </w:r>
      <w:r>
        <w:rPr/>
        <w:fldChar w:fldCharType="separate"/>
      </w:r>
      <w:r>
        <w:rPr>
          <w:rStyle w:val="style85"/>
          <w:rFonts w:ascii="Arial" w:cs="Arial" w:hAnsi="Arial"/>
          <w:color w:val="660099"/>
          <w:shd w:val="clear" w:color="auto" w:fill="ffffff"/>
        </w:rPr>
        <w:t>In vivo and In vitro Evaluation of antimicrobial activity of peel extracts of red dragon fruit (Hylocereus polyrhizus)</w:t>
      </w:r>
      <w:r>
        <w:rPr/>
        <w:fldChar w:fldCharType="end"/>
      </w:r>
    </w:p>
    <w:p>
      <w:pPr>
        <w:pStyle w:val="style0"/>
        <w:shd w:val="clear" w:color="auto" w:fill="ffffff"/>
        <w:spacing w:after="0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hAnsi="Arial"/>
          <w:color w:val="777777"/>
          <w:sz w:val="20"/>
          <w:szCs w:val="20"/>
        </w:rPr>
        <w:t>Y Temak, P Cholke, A Mule, A Shingade, S Narote, A Kagde, R Lagad, ...</w:t>
      </w:r>
    </w:p>
    <w:p>
      <w:pPr>
        <w:pStyle w:val="style0"/>
        <w:shd w:val="clear" w:color="auto" w:fill="ffffff"/>
        <w:spacing w:after="0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hAnsi="Arial"/>
          <w:color w:val="777777"/>
          <w:sz w:val="20"/>
          <w:szCs w:val="20"/>
        </w:rPr>
        <w:t>International Journal of Research in Pharmacy and Pharmaceutical Sciences 3 (5)</w:t>
      </w:r>
    </w:p>
    <w:p>
      <w:pPr>
        <w:pStyle w:val="style0"/>
        <w:shd w:val="clear" w:color="auto" w:fill="ffffff"/>
        <w:rPr>
          <w:rFonts w:ascii="Arial" w:cs="Arial" w:hAnsi="Arial"/>
          <w:color w:val="777777"/>
          <w:sz w:val="20"/>
          <w:szCs w:val="20"/>
        </w:rPr>
      </w:pPr>
    </w:p>
    <w:p>
      <w:pPr>
        <w:pStyle w:val="style0"/>
        <w:shd w:val="clear" w:color="auto" w:fill="ffffff"/>
        <w:rPr>
          <w:rFonts w:ascii="Arial" w:cs="Arial" w:hAnsi="Arial"/>
          <w:color w:val="777777"/>
          <w:sz w:val="20"/>
          <w:szCs w:val="20"/>
        </w:rPr>
      </w:pPr>
      <w:r>
        <w:rPr>
          <w:rFonts w:ascii="Arial" w:cs="Arial" w:eastAsia="Times New Roman" w:hAnsi="Arial"/>
          <w:color w:val="777777"/>
          <w:sz w:val="20"/>
          <w:szCs w:val="20"/>
          <w:lang w:bidi="mr-IN"/>
        </w:rPr>
        <w:drawing>
          <wp:inline distT="0" distR="0" distL="0" distB="0">
            <wp:extent cx="1104900" cy="988185"/>
            <wp:effectExtent l="38100" t="57150" r="114300" b="97665"/>
            <wp:docPr id="1027" name="Picture 9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6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04900" cy="988185"/>
                    </a:xfrm>
                    <a:prstGeom prst="rect"/>
                    <a:ln cmpd="sng" cap="sq" w="38100">
                      <a:solidFill>
                        <a:srgbClr val="000000"/>
                      </a:solidFill>
                      <a:prstDash val="solid"/>
                      <a:miter/>
                      <a:headEnd len="med" type="none" w="med"/>
                      <a:tailEnd len="med" type="none" w="med"/>
                    </a:ln>
                    <a:effectLst>
                      <a:outerShdw ky="0" rotWithShape="false" sy="100000" kx="0" sx="100000" dir="2700000" dist="38100" blurRad="50800" algn="tl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.P.B.Cholke</w:t>
      </w:r>
      <w:r>
        <w:rPr>
          <w:rFonts w:ascii="Times New Roman" w:hAnsi="Times New Roman"/>
          <w:sz w:val="24"/>
          <w:szCs w:val="24"/>
        </w:rPr>
        <w:t xml:space="preserve"> (Ph.D.Pursuing)</w:t>
      </w:r>
      <w:r>
        <w:rPr>
          <w:rFonts w:ascii="Times New Roman" w:hAnsi="Times New Roman"/>
          <w:sz w:val="24"/>
          <w:szCs w:val="24"/>
        </w:rPr>
        <w:t xml:space="preserve"> is currently working as Assistant Professor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&amp; HOD of Pharmaceutics Department, Shri Wagheshwar Gramvikas Pratishthan Sanchalit, Loknete Shri Dadapatil Pharate College of Pharmacy, Madavgoan Pharata, Shirur, Pune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sciences last two year. He has more than </w:t>
      </w:r>
      <w:r>
        <w:rPr>
          <w:rFonts w:hAnsi="Times New Roman"/>
          <w:sz w:val="24"/>
          <w:szCs w:val="24"/>
          <w:lang w:val="en-IN"/>
        </w:rPr>
        <w:t>10</w:t>
      </w:r>
      <w:r>
        <w:rPr>
          <w:rFonts w:ascii="Times New Roman" w:hAnsi="Times New Roman"/>
          <w:sz w:val="24"/>
          <w:szCs w:val="24"/>
        </w:rPr>
        <w:t xml:space="preserve"> years of teaching experiences in Pratibhatai Pawar College of Pharmacy, Shrirampur &amp; one year industry 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experiences in Lupin ltd Mumbai. He completed his graduation (B.Pharmacy) from NGSPM’s COP, Anjeneri, Trimakeswar, Nashik &amp; Post graduation (M.pharmacy) from PDVVP COP, Vilad Ghat, Ahemadnagar. He has handled various portfolios like re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esentation of Pharmacy Colleges in front of AICTE, PCI, DTE &amp; MSBTE visiting committee. He has many research paper publications in international &amp; national journals of repute to his credit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along with that he published </w:t>
      </w:r>
      <w:r>
        <w:rPr>
          <w:rFonts w:hAnsi="Times New Roman"/>
          <w:sz w:val="24"/>
          <w:szCs w:val="24"/>
          <w:lang w:val="en-IN"/>
        </w:rPr>
        <w:t xml:space="preserve">three </w:t>
      </w:r>
      <w:r>
        <w:rPr>
          <w:rFonts w:ascii="Times New Roman" w:hAnsi="Times New Roman"/>
          <w:b/>
          <w:sz w:val="24"/>
          <w:szCs w:val="24"/>
        </w:rPr>
        <w:t>book of medicinal chemistry- I</w:t>
      </w:r>
      <w:r>
        <w:rPr>
          <w:rFonts w:hAnsi="Times New Roman"/>
          <w:b/>
          <w:sz w:val="24"/>
          <w:szCs w:val="24"/>
          <w:lang w:val="en-IN"/>
        </w:rPr>
        <w:t xml:space="preserve"> t</w:t>
      </w:r>
      <w:r>
        <w:rPr>
          <w:rFonts w:hAnsi="Times New Roman"/>
          <w:b/>
          <w:sz w:val="24"/>
          <w:szCs w:val="24"/>
          <w:lang w:val="en-IN"/>
        </w:rPr>
        <w:t xml:space="preserve">heory and practical textbook of pharmaceutical organic chemistry III </w:t>
      </w:r>
      <w:r>
        <w:rPr>
          <w:rFonts w:ascii="Times New Roman" w:hAnsi="Times New Roman"/>
          <w:b/>
          <w:sz w:val="24"/>
          <w:szCs w:val="24"/>
        </w:rPr>
        <w:t xml:space="preserve"> in 2018</w:t>
      </w:r>
      <w:r>
        <w:rPr>
          <w:rFonts w:ascii="Times New Roman" w:hAnsi="Times New Roman"/>
          <w:sz w:val="24"/>
          <w:szCs w:val="24"/>
        </w:rPr>
        <w:t xml:space="preserve">. He is associated with </w:t>
      </w:r>
      <w:r>
        <w:rPr>
          <w:rFonts w:ascii="Times New Roman" w:hAnsi="Times New Roman"/>
          <w:b/>
          <w:sz w:val="24"/>
          <w:szCs w:val="24"/>
        </w:rPr>
        <w:t>APTI, APP &amp;IPA</w:t>
      </w:r>
      <w:r>
        <w:rPr>
          <w:rFonts w:ascii="Times New Roman" w:hAnsi="Times New Roman"/>
          <w:sz w:val="24"/>
          <w:szCs w:val="24"/>
        </w:rPr>
        <w:t xml:space="preserve"> as life member ship.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Recently he filled an </w:t>
      </w:r>
      <w:r>
        <w:rPr>
          <w:rFonts w:ascii="Times New Roman" w:hAnsi="Times New Roman"/>
          <w:b/>
          <w:sz w:val="24"/>
          <w:szCs w:val="24"/>
        </w:rPr>
        <w:t>Indian Patent</w:t>
      </w:r>
      <w:r>
        <w:rPr>
          <w:rFonts w:ascii="Times New Roman" w:hAnsi="Times New Roman"/>
          <w:sz w:val="24"/>
          <w:szCs w:val="24"/>
        </w:rPr>
        <w:t xml:space="preserve"> on his name. </w:t>
      </w:r>
      <w:r>
        <w:rPr>
          <w:rFonts w:ascii="Times New Roman" w:hAnsi="Times New Roman"/>
          <w:sz w:val="24"/>
          <w:szCs w:val="24"/>
        </w:rPr>
        <w:t xml:space="preserve">He is awarded as a </w:t>
      </w:r>
      <w:r>
        <w:rPr>
          <w:rFonts w:ascii="Times New Roman" w:hAnsi="Times New Roman"/>
          <w:b/>
          <w:sz w:val="24"/>
          <w:szCs w:val="24"/>
        </w:rPr>
        <w:t>Best Performer of the Year: 2017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(Administrative Work)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Presenting Author: </w:t>
      </w:r>
      <w:r>
        <w:rPr>
          <w:rFonts w:ascii="Times New Roman" w:hAnsi="Times New Roman"/>
          <w:sz w:val="24"/>
          <w:szCs w:val="24"/>
        </w:rPr>
        <w:t>Dr.</w:t>
      </w:r>
      <w:r>
        <w:rPr>
          <w:rFonts w:ascii="Times New Roman" w:hAnsi="Times New Roman"/>
          <w:sz w:val="24"/>
          <w:szCs w:val="24"/>
        </w:rPr>
        <w:t>Pravin Balasaheb Cholke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Detail:</w:t>
      </w:r>
      <w:r>
        <w:rPr>
          <w:rFonts w:ascii="Times New Roman" w:hAnsi="Times New Roman"/>
          <w:sz w:val="24"/>
          <w:szCs w:val="24"/>
        </w:rPr>
        <w:t xml:space="preserve">       7745038402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Session name/number:</w:t>
      </w:r>
      <w:r>
        <w:rPr>
          <w:rFonts w:ascii="Times New Roman" w:hAnsi="Times New Roman"/>
          <w:sz w:val="24"/>
          <w:szCs w:val="24"/>
        </w:rPr>
        <w:t xml:space="preserve"> R&amp;D Advancemant:Road to</w:t>
      </w:r>
      <w:r>
        <w:rPr>
          <w:rFonts w:ascii="Times New Roman" w:hAnsi="Times New Roman"/>
          <w:sz w:val="24"/>
          <w:szCs w:val="24"/>
        </w:rPr>
        <w:t xml:space="preserve"> new</w:t>
      </w:r>
      <w:r>
        <w:rPr>
          <w:rFonts w:ascii="Times New Roman" w:hAnsi="Times New Roman"/>
          <w:sz w:val="24"/>
          <w:szCs w:val="24"/>
        </w:rPr>
        <w:t xml:space="preserve"> medicin</w:t>
      </w:r>
      <w:r>
        <w:rPr>
          <w:rFonts w:ascii="Times New Roman" w:hAnsi="Times New Roman"/>
          <w:sz w:val="24"/>
          <w:szCs w:val="24"/>
        </w:rPr>
        <w:t>e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Category:</w:t>
      </w:r>
      <w:r>
        <w:rPr>
          <w:rFonts w:ascii="Times New Roman" w:hAnsi="Times New Roman"/>
          <w:sz w:val="24"/>
          <w:szCs w:val="24"/>
        </w:rPr>
        <w:t xml:space="preserve">   Oral </w:t>
      </w:r>
      <w:r>
        <w:rPr>
          <w:rFonts w:ascii="Times New Roman" w:hAnsi="Times New Roman"/>
          <w:sz w:val="24"/>
          <w:szCs w:val="24"/>
        </w:rPr>
        <w:t xml:space="preserve">Presentaion 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    : pravincholke03@gmail.com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sectPr>
      <w:pgSz w:w="12240" w:h="15840" w:orient="portrait"/>
      <w:pgMar w:top="720" w:right="432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000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Palatino Linotype">
    <w:altName w:val="Palatino Linotype"/>
    <w:panose1 w:val="02040502050000030304"/>
    <w:charset w:val="00"/>
    <w:family w:val="roman"/>
    <w:pitch w:val="variable"/>
    <w:sig w:usb0="E0000287" w:usb1="40000013" w:usb2="00000000" w:usb3="00000000" w:csb0="0000019F" w:csb1="00000000"/>
  </w:font>
  <w:font w:name="AdobeFangsongStd-Regular">
    <w:altName w:val="Arial Unicode MS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49E65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4A4CF1C"/>
    <w:lvl w:ilvl="0" w:tplc="F9E6A9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4544CF80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19B0BF4A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2B70D204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67081E22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6DF85548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2F089D1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9E220F7A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234C674C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0000002"/>
    <w:multiLevelType w:val="hybridMultilevel"/>
    <w:tmpl w:val="4C421472"/>
    <w:lvl w:ilvl="0" w:tplc="BEBCC8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987668DE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96F6EB86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067E577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B61CE0C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B3AC6448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A2DA176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A5AE88FE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132CCFA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0000003"/>
    <w:multiLevelType w:val="multilevel"/>
    <w:tmpl w:val="2B7CAAB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0000004"/>
    <w:multiLevelType w:val="multilevel"/>
    <w:tmpl w:val="3FBC619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hybridMultilevel"/>
    <w:tmpl w:val="7B8E56EA"/>
    <w:lvl w:ilvl="0" w:tplc="ADF2A4AC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038AFEFA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64BAC3E2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3F8EA58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A4B683E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9B4E9DC0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54C458A4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169A5FB6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1CDC9F8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8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8">
    <w:name w:val="Chapter Title"/>
    <w:basedOn w:val="style0"/>
    <w:next w:val="style0"/>
    <w:uiPriority w:val="99"/>
    <w:pPr>
      <w:keepNext/>
      <w:spacing w:before="400" w:lineRule="auto" w:line="240"/>
      <w:ind w:left="282" w:hanging="282" w:hangingChars="117"/>
    </w:pPr>
    <w:rPr>
      <w:rFonts w:ascii="Times New Roman" w:cs="Times New Roman" w:eastAsia="MS Mincho" w:hAnsi="Times New Roman"/>
      <w:b/>
      <w:bCs/>
      <w:kern w:val="28"/>
      <w:sz w:val="24"/>
      <w:szCs w:val="24"/>
      <w:lang w:eastAsia="ja-JP"/>
    </w:rPr>
  </w:style>
  <w:style w:type="paragraph" w:styleId="style90">
    <w:name w:val="Plain Text"/>
    <w:basedOn w:val="style0"/>
    <w:next w:val="style90"/>
    <w:link w:val="style4099"/>
    <w:uiPriority w:val="99"/>
    <w:pPr>
      <w:autoSpaceDE w:val="false"/>
      <w:autoSpaceDN w:val="false"/>
      <w:spacing w:after="0" w:lineRule="auto" w:line="240"/>
    </w:pPr>
    <w:rPr>
      <w:rFonts w:ascii="Courier New" w:cs="Times New Roman" w:eastAsia="SimSun" w:hAnsi="Courier New"/>
      <w:sz w:val="20"/>
      <w:szCs w:val="20"/>
    </w:rPr>
  </w:style>
  <w:style w:type="character" w:customStyle="1" w:styleId="style4099">
    <w:name w:val="Plain Text Char"/>
    <w:basedOn w:val="style65"/>
    <w:next w:val="style4099"/>
    <w:link w:val="style90"/>
    <w:uiPriority w:val="99"/>
    <w:rPr>
      <w:rFonts w:ascii="Courier New" w:cs="Times New Roman" w:eastAsia="SimSun" w:hAnsi="Courier New"/>
      <w:sz w:val="20"/>
      <w:szCs w:val="20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Univers" w:cs="Univers" w:hAnsi="Univers"/>
      <w:color w:val="000000"/>
      <w:sz w:val="24"/>
      <w:szCs w:val="24"/>
    </w:r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1">
    <w:name w:val="Header Char_e9fd3143-3e1c-4589-93b1-edfaaebf022c"/>
    <w:basedOn w:val="style65"/>
    <w:next w:val="style4101"/>
    <w:link w:val="style31"/>
    <w:uiPriority w:val="99"/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2">
    <w:name w:val="Footer Char_88881bb0-7ba8-45ce-8828-cd732d46b7b9"/>
    <w:basedOn w:val="style65"/>
    <w:next w:val="style4102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3">
    <w:name w:val="A5"/>
    <w:next w:val="style4103"/>
    <w:uiPriority w:val="99"/>
    <w:rPr>
      <w:rFonts w:cs="Palatino Linotype"/>
      <w:b/>
      <w:bCs/>
      <w:color w:val="000000"/>
      <w:sz w:val="11"/>
      <w:szCs w:val="11"/>
    </w:rPr>
  </w:style>
  <w:style w:type="character" w:customStyle="1" w:styleId="style4104">
    <w:name w:val="A2"/>
    <w:next w:val="style4104"/>
    <w:uiPriority w:val="99"/>
    <w:rPr>
      <w:rFonts w:cs="Palatino Linotype"/>
      <w:b/>
      <w:bCs/>
      <w:color w:val="000000"/>
      <w:sz w:val="17"/>
      <w:szCs w:val="17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5">
    <w:name w:val="e24kjd"/>
    <w:basedOn w:val="style65"/>
    <w:next w:val="style4105"/>
  </w:style>
  <w:style w:type="character" w:customStyle="1" w:styleId="style4106">
    <w:name w:val="apple-converted-space"/>
    <w:basedOn w:val="style65"/>
    <w:next w:val="style4106"/>
  </w:style>
  <w:style w:type="character" w:customStyle="1" w:styleId="style4107">
    <w:name w:val="kx21rb"/>
    <w:basedOn w:val="style65"/>
    <w:next w:val="style4107"/>
  </w:style>
  <w:style w:type="character" w:customStyle="1" w:styleId="style4108">
    <w:name w:val="w8qarf"/>
    <w:basedOn w:val="style65"/>
    <w:next w:val="style4108"/>
  </w:style>
  <w:style w:type="character" w:customStyle="1" w:styleId="style4109">
    <w:name w:val="lrzxr"/>
    <w:basedOn w:val="style65"/>
    <w:next w:val="style4109"/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3" Type="http://schemas.openxmlformats.org/officeDocument/2006/relationships/image" Target="media/image2.jpeg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572C-EEB5-4B53-908F-F2D3937AB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455</Words>
  <Pages>2</Pages>
  <Characters>2648</Characters>
  <Application>WPS Office</Application>
  <DocSecurity>0</DocSecurity>
  <Paragraphs>52</Paragraphs>
  <ScaleCrop>false</ScaleCrop>
  <Company>ftghf</Company>
  <LinksUpToDate>false</LinksUpToDate>
  <CharactersWithSpaces>3328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2019-12-02T13:05:45Z</dcterms:created>
  <dc:creator>john</dc:creator>
  <lastModifiedBy>Redmi 3S</lastModifiedBy>
  <lastPrinted>2019-12-02T12:15:00Z</lastPrinted>
  <dcterms:modified xsi:type="dcterms:W3CDTF">2019-12-02T13:05:45Z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