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spacing w:lineRule="auto" w:line="360"/>
        <w:jc w:val="center"/>
        <w:rPr>
          <w:rFonts w:ascii="Times New Roman" w:cs="Times New Roman" w:hAnsi="Times New Roman"/>
          <w:b/>
          <w:sz w:val="28"/>
          <w:szCs w:val="28"/>
        </w:rPr>
      </w:pPr>
      <w:bookmarkStart w:id="0" w:name="_GoBack"/>
      <w:bookmarkEnd w:id="0"/>
      <w:r>
        <w:rPr>
          <w:rFonts w:ascii="Times New Roman" w:cs="Times New Roman" w:hAnsi="Times New Roman"/>
          <w:b/>
          <w:sz w:val="28"/>
          <w:szCs w:val="28"/>
        </w:rPr>
        <w:t>ABSTRACT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Thalassemia is a genetic blood disorder which can be fatal if proper treatment is not given. Children with thalassemia appear well at birth but later on thalassemia becomes progressively worse if not properly treated, which can results in early deaths. For that children do survive, this condition has serious implications for HRQoL of children. This study was aimed to assess Health Related Quality of Life (HRQoL) among thalassemia patient and to identify the variables significantly affect the HRQoL of thalassemia patients of Quetta, Pakistan. A cross sectional study was conducted by adopting PedsQL 4.0 generic core scale for assessment of QoL, it has four dimensions: physical, emotional, social and role (school) functioning. All registered thalassemia patients attending three thalassemic centers BMC, SPH, Fatimid Foundation in Quetta, Pakistan were approached for study. Descriptive statistics were used to describe demographic and related to disease characteristics of the patients. All data was analyzed by using SPSS </w:t>
      </w:r>
      <w:r>
        <w:rPr>
          <w:rFonts w:ascii="Times New Roman" w:cs="Times New Roman" w:hAnsi="Times New Roman"/>
          <w:sz w:val="24"/>
          <w:szCs w:val="24"/>
        </w:rPr>
        <w:t>(Statistical Package of Social Sciences) software</w:t>
      </w:r>
      <w:r>
        <w:rPr>
          <w:rFonts w:ascii="Times New Roman" w:cs="Times New Roman" w:hAnsi="Times New Roman"/>
          <w:sz w:val="24"/>
          <w:szCs w:val="24"/>
        </w:rPr>
        <w:t xml:space="preserve"> program version </w:t>
      </w:r>
      <w:r>
        <w:rPr>
          <w:rFonts w:ascii="Times New Roman" w:cs="Times New Roman" w:hAnsi="Times New Roman"/>
          <w:sz w:val="24"/>
          <w:szCs w:val="24"/>
        </w:rPr>
        <w:t>2</w:t>
      </w:r>
      <w:r>
        <w:rPr>
          <w:rFonts w:ascii="Times New Roman" w:cs="Times New Roman" w:hAnsi="Times New Roman"/>
          <w:sz w:val="24"/>
          <w:szCs w:val="24"/>
        </w:rPr>
        <w:t>0</w:t>
      </w:r>
      <w:r>
        <w:rPr>
          <w:rFonts w:ascii="Times New Roman" w:cs="Times New Roman" w:hAnsi="Times New Roman"/>
          <w:sz w:val="24"/>
          <w:szCs w:val="24"/>
        </w:rPr>
        <w:t xml:space="preserve">.0. Two hundred and sixty seven thalassemia patients were enrolled in the study. Majority of the participants </w:t>
      </w:r>
      <w:r>
        <w:rPr>
          <w:rFonts w:ascii="Times New Roman" w:cs="Times New Roman" w:hAnsi="Times New Roman"/>
          <w:sz w:val="24"/>
          <w:szCs w:val="24"/>
        </w:rPr>
        <w:t>(n=145, 54.1%)</w:t>
      </w:r>
      <w:r>
        <w:rPr>
          <w:rFonts w:ascii="Times New Roman" w:cs="Times New Roman" w:hAnsi="Times New Roman"/>
          <w:sz w:val="24"/>
          <w:szCs w:val="24"/>
        </w:rPr>
        <w:t xml:space="preserve"> were male </w:t>
      </w:r>
      <w:r>
        <w:rPr>
          <w:rFonts w:ascii="Times New Roman" w:cs="Times New Roman" w:hAnsi="Times New Roman"/>
          <w:sz w:val="24"/>
          <w:szCs w:val="24"/>
        </w:rPr>
        <w:t xml:space="preserve">and categorized </w:t>
      </w:r>
      <w:r>
        <w:rPr>
          <w:rFonts w:ascii="Times New Roman" w:cs="Times New Roman" w:hAnsi="Times New Roman"/>
          <w:sz w:val="24"/>
          <w:szCs w:val="24"/>
        </w:rPr>
        <w:t>with the age group of 8-12</w:t>
      </w:r>
      <w:r>
        <w:rPr>
          <w:rFonts w:ascii="Times New Roman" w:cs="Times New Roman" w:hAnsi="Times New Roman"/>
          <w:sz w:val="24"/>
          <w:szCs w:val="24"/>
        </w:rPr>
        <w:t xml:space="preserve"> years (n=140, 52.2%). HRQoL was measured as poor in the current study (32.65 ± 15.211). The study also revealed value in physical (15.04 ± 6.941) and emotional (10.79 ± 4.684). Social (4.34 ± 5.078) and school functioning (9.11 ± 3.143) also found to have negative impact on HRQoL. Age, gender, education status were affecting the HRQoL of thalassemia patients. Thalassemia has a negative impact on perceived physical, emotional, social and school functioning in patient’s well-being and overall HRQoL. Improving the disease related knowledge and p</w:t>
      </w:r>
      <w:r>
        <w:rPr>
          <w:rFonts w:ascii="Times New Roman" w:cs="Times New Roman" w:hAnsi="Times New Roman"/>
          <w:sz w:val="24"/>
          <w:szCs w:val="24"/>
        </w:rPr>
        <w:t>arental awareness regarding v</w:t>
      </w:r>
      <w:r>
        <w:rPr>
          <w:rFonts w:ascii="Times New Roman" w:cs="Times New Roman" w:hAnsi="Times New Roman"/>
          <w:sz w:val="24"/>
          <w:szCs w:val="24"/>
        </w:rPr>
        <w:t>arious aspects of thalassemia can prevent thalassemia and results in better control and management.</w:t>
      </w:r>
    </w:p>
    <w:sectPr>
      <w:pgSz w:w="11907" w:h="16839" w:code="9"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Calibri Light">
    <w:altName w:val="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160" w:lineRule="auto" w:line="259"/>
      </w:pPr>
    </w:pPrDefault>
  </w:docDefaults>
  <w:style w:type="paragraph" w:default="1" w:styleId="style0">
    <w:name w:val="Normal"/>
    <w:link w:val="style4095"/>
    <w:qFormat/>
    <w:pPr/>
  </w:style>
  <w:style w:type="character" w:default="1" w:styleId="style65">
    <w:name w:val="Default Paragraph Font"/>
    <w:link w:val="style4095"/>
    <w:uiPriority w:val="1"/>
  </w:style>
  <w:style w:type="table" w:default="1" w:styleId="style105">
    <w:name w:val="Normal Table"/>
    <w:link w:val="style4095"/>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link w:val="style4095"/>
    <w:uiPriority w:val="99"/>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1" Type="http://schemas.openxmlformats.org/officeDocument/2006/relationships/numbering" Target="numbering.xml"/><Relationship Id="rId4" Type="http://schemas.openxmlformats.org/officeDocument/2006/relationships/settings" Target="settings.xml"/><Relationship Id="rId3" Type="http://schemas.openxmlformats.org/officeDocument/2006/relationships/fontTable" Target="fontTable.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Words>294</Words>
  <Characters>1671</Characters>
  <Application>Kingsoft Office Writer</Application>
  <DocSecurity>0</DocSecurity>
  <Paragraphs>2</Paragraphs>
  <ScaleCrop>false</ScaleCrop>
  <Company>Moorche 30 DVDs</Company>
  <LinksUpToDate>false</LinksUpToDate>
  <CharactersWithSpaces>1961</CharactersWithSpaces>
  <SharedDoc>false</SharedDoc>
  <HyperlinksChanged>false</HyperlinksChanged>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2017-10-10T13:40:00Z</dcterms:created>
  <dc:creator>MRT www.Win2Farsi.com</dc:creator>
  <lastModifiedBy>Kingsoft Office</lastModifiedBy>
  <dcterms:modified xsi:type="dcterms:W3CDTF">2018-01-01T13:23:57Z</dcterms:modified>
  <revision>1</revision>
</coreProperties>
</file>