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B5474E">
        <w:rPr>
          <w:noProof/>
          <w:sz w:val="22"/>
          <w:szCs w:val="22"/>
          <w:lang w:val="en-US" w:eastAsia="en-US"/>
        </w:rPr>
        <w:drawing>
          <wp:anchor distT="0" distB="0" distL="114300" distR="114300" simplePos="0" relativeHeight="251658240" behindDoc="1" locked="0" layoutInCell="1" allowOverlap="1">
            <wp:simplePos x="0" y="0"/>
            <wp:positionH relativeFrom="margin">
              <wp:align>right</wp:align>
            </wp:positionH>
            <wp:positionV relativeFrom="paragraph">
              <wp:posOffset>3917</wp:posOffset>
            </wp:positionV>
            <wp:extent cx="1144732" cy="1140031"/>
            <wp:effectExtent l="19050" t="0" r="0" b="0"/>
            <wp:wrapTight wrapText="bothSides">
              <wp:wrapPolygon edited="0">
                <wp:start x="-359" y="0"/>
                <wp:lineTo x="-359" y="21295"/>
                <wp:lineTo x="21567" y="21295"/>
                <wp:lineTo x="21567" y="0"/>
                <wp:lineTo x="-359" y="0"/>
              </wp:wrapPolygon>
            </wp:wrapTight>
            <wp:docPr id="2" name="Picture 1"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7">
                      <a:grayscl/>
                    </a:blip>
                    <a:stretch>
                      <a:fillRect/>
                    </a:stretch>
                  </pic:blipFill>
                  <pic:spPr>
                    <a:xfrm>
                      <a:off x="0" y="0"/>
                      <a:ext cx="1144732" cy="1140031"/>
                    </a:xfrm>
                    <a:prstGeom prst="rect">
                      <a:avLst/>
                    </a:prstGeom>
                  </pic:spPr>
                </pic:pic>
              </a:graphicData>
            </a:graphic>
          </wp:anchor>
        </w:drawing>
      </w:r>
    </w:p>
    <w:p w:rsidR="00B5474E" w:rsidRDefault="00B5474E" w:rsidP="00AC3BCD">
      <w:pPr>
        <w:rPr>
          <w:rFonts w:eastAsia="MS PGothic"/>
          <w:b/>
          <w:color w:val="000000"/>
          <w:sz w:val="28"/>
          <w:szCs w:val="28"/>
        </w:rPr>
      </w:pPr>
    </w:p>
    <w:p w:rsidR="00B5474E" w:rsidRDefault="00B5474E" w:rsidP="00AC3BCD">
      <w:pPr>
        <w:rPr>
          <w:rFonts w:eastAsia="MS PGothic"/>
          <w:b/>
          <w:color w:val="000000"/>
          <w:sz w:val="28"/>
          <w:szCs w:val="28"/>
        </w:rPr>
      </w:pPr>
    </w:p>
    <w:p w:rsidR="00B5474E" w:rsidRDefault="00B5474E" w:rsidP="00AC3BCD">
      <w:pPr>
        <w:rPr>
          <w:rFonts w:eastAsia="MS PGothic"/>
          <w:b/>
          <w:color w:val="000000"/>
          <w:sz w:val="28"/>
          <w:szCs w:val="28"/>
        </w:rPr>
      </w:pPr>
    </w:p>
    <w:p w:rsidR="00B5474E" w:rsidRDefault="00B5474E" w:rsidP="00AC3BCD">
      <w:pPr>
        <w:rPr>
          <w:rFonts w:eastAsia="MS PGothic"/>
          <w:b/>
          <w:color w:val="000000"/>
          <w:sz w:val="28"/>
          <w:szCs w:val="28"/>
        </w:rPr>
      </w:pPr>
    </w:p>
    <w:p w:rsidR="00B5474E" w:rsidRDefault="00B5474E" w:rsidP="00AC3BCD">
      <w:pPr>
        <w:rPr>
          <w:rFonts w:eastAsia="MS PGothic"/>
          <w:b/>
          <w:color w:val="000000"/>
          <w:sz w:val="28"/>
          <w:szCs w:val="28"/>
        </w:rPr>
      </w:pPr>
    </w:p>
    <w:p w:rsidR="00B5474E" w:rsidRDefault="00B5474E" w:rsidP="00AC3BCD">
      <w:pPr>
        <w:rPr>
          <w:rFonts w:eastAsia="MS PGothic"/>
          <w:b/>
          <w:color w:val="000000"/>
          <w:sz w:val="28"/>
          <w:szCs w:val="28"/>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1C29B0" w:rsidRPr="001C29B0">
        <w:rPr>
          <w:rFonts w:eastAsia="MS PGothic"/>
          <w:color w:val="000000"/>
          <w:sz w:val="28"/>
          <w:szCs w:val="28"/>
        </w:rPr>
        <w:t>Designing antitubercular agents exploring Mycobactin biosynthetic patway</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1C29B0">
        <w:rPr>
          <w:rFonts w:eastAsia="MS PGothic" w:hAnsi="Arial"/>
          <w:color w:val="000000"/>
        </w:rPr>
        <w:t>Venkatesan  Jayaprakash</w:t>
      </w:r>
    </w:p>
    <w:p w:rsidR="00AC3BCD" w:rsidRDefault="00AC3BCD" w:rsidP="00AC3BCD">
      <w:pPr>
        <w:rPr>
          <w:rFonts w:eastAsia="MS PGothic" w:hAnsi="Arial"/>
          <w:color w:val="000000"/>
        </w:rPr>
      </w:pPr>
      <w:r>
        <w:rPr>
          <w:b/>
          <w:sz w:val="28"/>
          <w:szCs w:val="28"/>
        </w:rPr>
        <w:t xml:space="preserve">                     </w:t>
      </w:r>
      <w:r w:rsidR="001C29B0">
        <w:rPr>
          <w:rFonts w:eastAsia="MS PGothic" w:hAnsi="Arial"/>
          <w:color w:val="000000"/>
        </w:rPr>
        <w:t>Birla Institute of Technology, Mesra, Ranchi-835215</w:t>
      </w:r>
      <w:r>
        <w:rPr>
          <w:rFonts w:eastAsia="MS PGothic" w:hAnsi="Arial"/>
          <w:color w:val="000000"/>
        </w:rPr>
        <w:t xml:space="preserve">, </w:t>
      </w:r>
      <w:r w:rsidR="001C29B0">
        <w:rPr>
          <w:rFonts w:eastAsia="MS PGothic" w:hAnsi="Arial"/>
          <w:color w:val="000000"/>
        </w:rPr>
        <w:t>India</w:t>
      </w:r>
    </w:p>
    <w:p w:rsidR="00AC3BCD" w:rsidRDefault="00AC3BCD" w:rsidP="00AC3BCD">
      <w:pPr>
        <w:jc w:val="center"/>
        <w:rPr>
          <w:rFonts w:eastAsia="Batang"/>
          <w:color w:val="0000FF"/>
          <w:sz w:val="36"/>
          <w:szCs w:val="36"/>
        </w:rPr>
      </w:pPr>
    </w:p>
    <w:p w:rsidR="00AC3BCD" w:rsidRPr="00AB7D8F" w:rsidRDefault="00F04AA3" w:rsidP="001C29B0">
      <w:pPr>
        <w:ind w:firstLine="720"/>
        <w:jc w:val="both"/>
        <w:rPr>
          <w:color w:val="000000"/>
        </w:rPr>
      </w:pPr>
      <w:r>
        <w:rPr>
          <w:rFonts w:eastAsia="MS PGothic"/>
          <w:color w:val="000000"/>
          <w:szCs w:val="32"/>
        </w:rPr>
        <w:t xml:space="preserve">Developing newer antitubercular agents having novel chemical scaffold targeting novel </w:t>
      </w:r>
      <w:r w:rsidR="001C29B0">
        <w:rPr>
          <w:color w:val="000000"/>
        </w:rPr>
        <w:t xml:space="preserve"> </w:t>
      </w:r>
      <w:r w:rsidR="00690ADF">
        <w:rPr>
          <w:color w:val="000000"/>
        </w:rPr>
        <w:t>proteins</w:t>
      </w:r>
      <w:r>
        <w:rPr>
          <w:color w:val="000000"/>
        </w:rPr>
        <w:t xml:space="preserve"> is essential to face the threat due to MDR and XDR tuberculosis. </w:t>
      </w:r>
      <w:r w:rsidR="00690ADF">
        <w:rPr>
          <w:color w:val="000000"/>
        </w:rPr>
        <w:t xml:space="preserve">Mycobactin is a hexadentate ligand secreted by the tubercular bacilli to overcome the iron stress that it experiences once inside the host cell. </w:t>
      </w:r>
      <w:r w:rsidR="002078D7">
        <w:rPr>
          <w:color w:val="000000"/>
        </w:rPr>
        <w:t xml:space="preserve">Inhibiting any enzyme in the biosynthetic pathway will be novel approach in developing a newer chemotherapeutic agent against tuberculosis. Our group is working on mimics of phenyloxazoline portion of mycobactin. We identified, </w:t>
      </w:r>
      <w:r w:rsidR="002078D7" w:rsidRPr="002078D7">
        <w:rPr>
          <w:i/>
          <w:color w:val="000000"/>
        </w:rPr>
        <w:t>3-(2-hydroxyphenyl)-5-(4-hydroxyphenyl)-4,5-dihydro-1H-pyrazole-1-carbothioamide</w:t>
      </w:r>
      <w:r w:rsidR="00AB7D8F">
        <w:rPr>
          <w:i/>
          <w:color w:val="000000"/>
        </w:rPr>
        <w:t xml:space="preserve"> (</w:t>
      </w:r>
      <w:r w:rsidR="00AB7D8F" w:rsidRPr="00AB7D8F">
        <w:rPr>
          <w:b/>
          <w:i/>
          <w:color w:val="000000"/>
        </w:rPr>
        <w:t>1</w:t>
      </w:r>
      <w:r w:rsidR="00AB7D8F">
        <w:rPr>
          <w:i/>
          <w:color w:val="000000"/>
        </w:rPr>
        <w:t>)</w:t>
      </w:r>
      <w:r w:rsidR="002078D7">
        <w:rPr>
          <w:color w:val="000000"/>
        </w:rPr>
        <w:t xml:space="preserve"> as a potential inhibitor of </w:t>
      </w:r>
      <w:r w:rsidR="00AB7D8F" w:rsidRPr="00AB7D8F">
        <w:rPr>
          <w:i/>
          <w:color w:val="000000"/>
        </w:rPr>
        <w:t>Mycobacterium tuberculosis</w:t>
      </w:r>
      <w:r w:rsidR="00AB7D8F">
        <w:rPr>
          <w:color w:val="000000"/>
        </w:rPr>
        <w:t xml:space="preserve"> under iron stressed condition</w:t>
      </w:r>
      <w:r w:rsidR="00917D6B">
        <w:rPr>
          <w:color w:val="000000"/>
        </w:rPr>
        <w:t xml:space="preserve"> (Bioorg Med Chem Lett, 2008</w:t>
      </w:r>
      <w:r w:rsidR="00A01183">
        <w:rPr>
          <w:color w:val="000000"/>
        </w:rPr>
        <w:t xml:space="preserve">, </w:t>
      </w:r>
      <w:r w:rsidR="00A01183" w:rsidRPr="00A01183">
        <w:rPr>
          <w:color w:val="000000"/>
        </w:rPr>
        <w:t>18(8):2662-8</w:t>
      </w:r>
      <w:r w:rsidR="00917D6B">
        <w:rPr>
          <w:color w:val="000000"/>
        </w:rPr>
        <w:t>)</w:t>
      </w:r>
      <w:r w:rsidR="00AB7D8F">
        <w:rPr>
          <w:color w:val="000000"/>
        </w:rPr>
        <w:t xml:space="preserve">. We hypothesize that this compound as a putative inhibitor of phenyloxazoline synthetase, an enzyme in the mycobactin biosynthetic pathway catalysing the condensation/cyclization salicylic acid and serine. </w:t>
      </w:r>
      <w:r w:rsidR="00917D6B">
        <w:rPr>
          <w:color w:val="000000"/>
        </w:rPr>
        <w:t xml:space="preserve">Compound </w:t>
      </w:r>
      <w:r w:rsidR="00A01183" w:rsidRPr="00A01183">
        <w:rPr>
          <w:b/>
          <w:i/>
          <w:color w:val="000000"/>
        </w:rPr>
        <w:t>1</w:t>
      </w:r>
      <w:r w:rsidR="00917D6B">
        <w:rPr>
          <w:color w:val="000000"/>
        </w:rPr>
        <w:t xml:space="preserve"> is a racemic mixture and their component isomers were found to be equipotent in nature (unpublished data). </w:t>
      </w:r>
      <w:r w:rsidR="00AB7D8F">
        <w:rPr>
          <w:color w:val="000000"/>
        </w:rPr>
        <w:t>Further modification at the 1</w:t>
      </w:r>
      <w:r w:rsidR="00AB7D8F" w:rsidRPr="00AB7D8F">
        <w:rPr>
          <w:i/>
          <w:color w:val="000000"/>
        </w:rPr>
        <w:t>N</w:t>
      </w:r>
      <w:r w:rsidR="00AB7D8F">
        <w:rPr>
          <w:color w:val="000000"/>
        </w:rPr>
        <w:t xml:space="preserve"> of pyrazoline replacing the –C(=S)-NH</w:t>
      </w:r>
      <w:r w:rsidR="00AB7D8F" w:rsidRPr="00AB7D8F">
        <w:rPr>
          <w:color w:val="000000"/>
          <w:vertAlign w:val="subscript"/>
        </w:rPr>
        <w:t>2</w:t>
      </w:r>
      <w:r w:rsidR="00AB7D8F">
        <w:rPr>
          <w:color w:val="000000"/>
        </w:rPr>
        <w:t xml:space="preserve"> group with –C(=O)-NH</w:t>
      </w:r>
      <w:r w:rsidR="00AB7D8F" w:rsidRPr="00AB7D8F">
        <w:rPr>
          <w:color w:val="000000"/>
          <w:vertAlign w:val="subscript"/>
        </w:rPr>
        <w:t>2</w:t>
      </w:r>
      <w:r w:rsidR="00AB7D8F" w:rsidRPr="00AB7D8F">
        <w:rPr>
          <w:color w:val="000000"/>
        </w:rPr>
        <w:t>,</w:t>
      </w:r>
      <w:r w:rsidR="00AB7D8F">
        <w:rPr>
          <w:color w:val="000000"/>
          <w:vertAlign w:val="subscript"/>
        </w:rPr>
        <w:t xml:space="preserve"> </w:t>
      </w:r>
      <w:r w:rsidR="00AB7D8F">
        <w:rPr>
          <w:color w:val="000000"/>
        </w:rPr>
        <w:t>–C(=NH)-NH</w:t>
      </w:r>
      <w:r w:rsidR="00AB7D8F" w:rsidRPr="00AB7D8F">
        <w:rPr>
          <w:color w:val="000000"/>
          <w:vertAlign w:val="subscript"/>
        </w:rPr>
        <w:t>2</w:t>
      </w:r>
      <w:r w:rsidR="00AB7D8F" w:rsidRPr="00AB7D8F">
        <w:rPr>
          <w:color w:val="000000"/>
        </w:rPr>
        <w:t xml:space="preserve"> and</w:t>
      </w:r>
      <w:r w:rsidR="00AB7D8F">
        <w:rPr>
          <w:color w:val="000000"/>
          <w:vertAlign w:val="subscript"/>
        </w:rPr>
        <w:t xml:space="preserve"> </w:t>
      </w:r>
      <w:r w:rsidR="00AB7D8F">
        <w:rPr>
          <w:color w:val="000000"/>
        </w:rPr>
        <w:t>–C(=O)-CH</w:t>
      </w:r>
      <w:r w:rsidR="00AB7D8F">
        <w:rPr>
          <w:color w:val="000000"/>
          <w:vertAlign w:val="subscript"/>
        </w:rPr>
        <w:t xml:space="preserve">3 </w:t>
      </w:r>
      <w:r w:rsidR="00AB7D8F">
        <w:rPr>
          <w:color w:val="000000"/>
        </w:rPr>
        <w:t xml:space="preserve">resulted in the </w:t>
      </w:r>
      <w:r w:rsidR="00A01183">
        <w:rPr>
          <w:color w:val="000000"/>
        </w:rPr>
        <w:t>reduction/</w:t>
      </w:r>
      <w:r w:rsidR="00AB7D8F">
        <w:rPr>
          <w:color w:val="000000"/>
        </w:rPr>
        <w:t>loss of activity</w:t>
      </w:r>
      <w:r w:rsidR="00A01183">
        <w:rPr>
          <w:color w:val="000000"/>
        </w:rPr>
        <w:t xml:space="preserve"> (unpublished data)</w:t>
      </w:r>
      <w:r w:rsidR="00AB7D8F">
        <w:rPr>
          <w:color w:val="000000"/>
        </w:rPr>
        <w:t>.</w:t>
      </w:r>
      <w:r w:rsidR="00917D6B">
        <w:rPr>
          <w:color w:val="000000"/>
        </w:rPr>
        <w:t xml:space="preserve"> </w:t>
      </w:r>
      <w:r w:rsidR="00A01183">
        <w:rPr>
          <w:color w:val="000000"/>
        </w:rPr>
        <w:t xml:space="preserve">With this background, analogue of compound </w:t>
      </w:r>
      <w:r w:rsidR="00A01183" w:rsidRPr="00A01183">
        <w:rPr>
          <w:b/>
          <w:i/>
          <w:color w:val="000000"/>
        </w:rPr>
        <w:t>1</w:t>
      </w:r>
      <w:r w:rsidR="00A01183">
        <w:rPr>
          <w:color w:val="000000"/>
        </w:rPr>
        <w:t xml:space="preserve"> with  different substitutions on the phenyl ring at 5</w:t>
      </w:r>
      <w:r w:rsidR="00A01183" w:rsidRPr="003D4275">
        <w:rPr>
          <w:color w:val="000000"/>
          <w:vertAlign w:val="superscript"/>
        </w:rPr>
        <w:t>th</w:t>
      </w:r>
      <w:r w:rsidR="00A01183">
        <w:rPr>
          <w:color w:val="000000"/>
        </w:rPr>
        <w:t xml:space="preserve"> position of pyrazoline</w:t>
      </w:r>
      <w:r w:rsidR="00AB7D8F">
        <w:rPr>
          <w:color w:val="000000"/>
        </w:rPr>
        <w:t xml:space="preserve"> </w:t>
      </w:r>
      <w:r w:rsidR="00A01183">
        <w:rPr>
          <w:color w:val="000000"/>
        </w:rPr>
        <w:t>were designed, synthesized and evaluated for the antitubercular activity under iron stress</w:t>
      </w:r>
      <w:r w:rsidR="003D4275">
        <w:rPr>
          <w:color w:val="000000"/>
        </w:rPr>
        <w:t xml:space="preserve"> using </w:t>
      </w:r>
      <w:r w:rsidR="003D4275" w:rsidRPr="003D4275">
        <w:rPr>
          <w:i/>
          <w:color w:val="000000"/>
        </w:rPr>
        <w:t>Mycobacterium smegmatis</w:t>
      </w:r>
      <w:r w:rsidR="00A01183">
        <w:rPr>
          <w:color w:val="000000"/>
        </w:rPr>
        <w:t xml:space="preserve">. Compounds were also subjected to </w:t>
      </w:r>
      <w:r w:rsidR="003D4275" w:rsidRPr="003D4275">
        <w:rPr>
          <w:i/>
          <w:color w:val="000000"/>
        </w:rPr>
        <w:t>in vitro</w:t>
      </w:r>
      <w:r w:rsidR="003D4275">
        <w:rPr>
          <w:color w:val="000000"/>
        </w:rPr>
        <w:t xml:space="preserve"> </w:t>
      </w:r>
      <w:r w:rsidR="00A01183">
        <w:rPr>
          <w:color w:val="000000"/>
        </w:rPr>
        <w:t>cytotoxicity stu</w:t>
      </w:r>
      <w:r w:rsidR="003D4275">
        <w:rPr>
          <w:color w:val="000000"/>
        </w:rPr>
        <w:t xml:space="preserve">dies. Potent compound from this series is currently under screening against </w:t>
      </w:r>
      <w:r w:rsidR="003D4275" w:rsidRPr="003D4275">
        <w:rPr>
          <w:i/>
          <w:color w:val="000000"/>
        </w:rPr>
        <w:t>Mycobacterium tuberculosis</w:t>
      </w:r>
      <w:r w:rsidR="003D4275">
        <w:rPr>
          <w:color w:val="000000"/>
        </w:rPr>
        <w:t xml:space="preserve"> and we are also planning for similar studies against resistant strains of </w:t>
      </w:r>
      <w:r w:rsidR="003D4275" w:rsidRPr="003D4275">
        <w:rPr>
          <w:i/>
          <w:color w:val="000000"/>
        </w:rPr>
        <w:t>Mycobacterium tuberculosis</w:t>
      </w:r>
      <w:r w:rsidR="003D4275">
        <w:rPr>
          <w:color w:val="000000"/>
        </w:rPr>
        <w:t xml:space="preserve">.  </w:t>
      </w:r>
      <w:r w:rsidR="00A01183">
        <w:rPr>
          <w:color w:val="000000"/>
        </w:rPr>
        <w:t xml:space="preserve">  </w:t>
      </w:r>
      <w:r w:rsidR="00AB7D8F">
        <w:rPr>
          <w:color w:val="000000"/>
        </w:rPr>
        <w:t xml:space="preserve"> </w:t>
      </w:r>
    </w:p>
    <w:p w:rsidR="001C29B0" w:rsidRDefault="001C29B0"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1C29B0" w:rsidP="00AC3BCD">
      <w:pPr>
        <w:jc w:val="both"/>
        <w:rPr>
          <w:rFonts w:eastAsia="MS PGothic"/>
          <w:b/>
          <w:color w:val="000000"/>
          <w:szCs w:val="32"/>
        </w:rPr>
      </w:pPr>
      <w:r>
        <w:t>Dr. Venkatesan J.</w:t>
      </w:r>
      <w:r w:rsidR="00AC3BCD">
        <w:t xml:space="preserve"> has completed his PhD from </w:t>
      </w:r>
      <w:r>
        <w:t>Birla Institute of Technology, Mesra in the year 2012. He is currently serving as Associate Professor in Department of Pharmaceutical Sciences &amp; Technology, BIT, Mesra. He has around 50 publications to his credit in the area of drug design and medicinal chemistry. His research group in BIT is currently working in the area of drug design against the validated targets of tuberculosis and emerging virus like Dengue and Chikungunya. He is also serving as Editor of Journal of Pharmaceutical Chemistry.</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C29B0">
        <w:rPr>
          <w:lang w:val="en-NZ"/>
        </w:rPr>
        <w:t>Venkatesan Jayaprakash</w:t>
      </w:r>
      <w:r w:rsidRPr="008A690F">
        <w:rPr>
          <w:lang w:val="en-NZ"/>
        </w:rPr>
        <w:br/>
        <w:t>Contact number:</w:t>
      </w:r>
      <w:r w:rsidR="001C29B0">
        <w:rPr>
          <w:lang w:val="en-NZ"/>
        </w:rPr>
        <w:t xml:space="preserve"> +91-9470137264</w:t>
      </w:r>
      <w:r w:rsidRPr="008A690F">
        <w:rPr>
          <w:lang w:val="en-NZ"/>
        </w:rPr>
        <w:br/>
        <w:t>Twitter account:</w:t>
      </w:r>
      <w:r w:rsidRPr="008A690F">
        <w:rPr>
          <w:lang w:val="en-NZ"/>
        </w:rPr>
        <w:br/>
        <w:t>Linked In account:</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C54CA">
        <w:rPr>
          <w:lang w:val="en-NZ"/>
        </w:rPr>
        <w:t xml:space="preserve"> Drug discovery and Development</w:t>
      </w:r>
      <w:r w:rsidRPr="008A690F">
        <w:rPr>
          <w:lang w:val="en-NZ"/>
        </w:rPr>
        <w:br/>
        <w:t>Category: (Oral presentation)</w:t>
      </w:r>
      <w:r w:rsidR="000C54CA">
        <w:rPr>
          <w:lang w:val="en-NZ"/>
        </w:rPr>
        <w:t xml:space="preserve"> </w:t>
      </w: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3BD" w:rsidRDefault="000603BD" w:rsidP="00671A59">
      <w:r>
        <w:separator/>
      </w:r>
    </w:p>
  </w:endnote>
  <w:endnote w:type="continuationSeparator" w:id="1">
    <w:p w:rsidR="000603BD" w:rsidRDefault="000603B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3BD" w:rsidRDefault="000603BD" w:rsidP="00671A59">
      <w:r>
        <w:separator/>
      </w:r>
    </w:p>
  </w:footnote>
  <w:footnote w:type="continuationSeparator" w:id="1">
    <w:p w:rsidR="000603BD" w:rsidRDefault="000603B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603BD"/>
    <w:rsid w:val="00065A05"/>
    <w:rsid w:val="00072E30"/>
    <w:rsid w:val="00085B88"/>
    <w:rsid w:val="00090564"/>
    <w:rsid w:val="00097CA5"/>
    <w:rsid w:val="000A4C72"/>
    <w:rsid w:val="000C54CA"/>
    <w:rsid w:val="000E7A02"/>
    <w:rsid w:val="00101A04"/>
    <w:rsid w:val="00106952"/>
    <w:rsid w:val="001216E5"/>
    <w:rsid w:val="0013563F"/>
    <w:rsid w:val="00140AA6"/>
    <w:rsid w:val="00145878"/>
    <w:rsid w:val="001A411C"/>
    <w:rsid w:val="001B1336"/>
    <w:rsid w:val="001B6DE6"/>
    <w:rsid w:val="001C29B0"/>
    <w:rsid w:val="001F414A"/>
    <w:rsid w:val="00205354"/>
    <w:rsid w:val="002078D7"/>
    <w:rsid w:val="002659F1"/>
    <w:rsid w:val="00270EC9"/>
    <w:rsid w:val="00292DC0"/>
    <w:rsid w:val="002B18D5"/>
    <w:rsid w:val="002C0F2B"/>
    <w:rsid w:val="003753DD"/>
    <w:rsid w:val="003A4429"/>
    <w:rsid w:val="003D427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0ADF"/>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17D6B"/>
    <w:rsid w:val="00970E67"/>
    <w:rsid w:val="009821B4"/>
    <w:rsid w:val="009A6AD9"/>
    <w:rsid w:val="009B0CCF"/>
    <w:rsid w:val="009B7F4F"/>
    <w:rsid w:val="009D3EA4"/>
    <w:rsid w:val="009E6632"/>
    <w:rsid w:val="009E6C61"/>
    <w:rsid w:val="00A01183"/>
    <w:rsid w:val="00A31D17"/>
    <w:rsid w:val="00A41107"/>
    <w:rsid w:val="00A50066"/>
    <w:rsid w:val="00A668A1"/>
    <w:rsid w:val="00A76E81"/>
    <w:rsid w:val="00A83688"/>
    <w:rsid w:val="00A83863"/>
    <w:rsid w:val="00AB7D8F"/>
    <w:rsid w:val="00AC3BCD"/>
    <w:rsid w:val="00AD6315"/>
    <w:rsid w:val="00AF4356"/>
    <w:rsid w:val="00B26097"/>
    <w:rsid w:val="00B27625"/>
    <w:rsid w:val="00B5474E"/>
    <w:rsid w:val="00B675D9"/>
    <w:rsid w:val="00BF5676"/>
    <w:rsid w:val="00CE08A2"/>
    <w:rsid w:val="00D367E3"/>
    <w:rsid w:val="00DA2249"/>
    <w:rsid w:val="00DA581F"/>
    <w:rsid w:val="00DC29A1"/>
    <w:rsid w:val="00DC7405"/>
    <w:rsid w:val="00DD3006"/>
    <w:rsid w:val="00DE2102"/>
    <w:rsid w:val="00E119D1"/>
    <w:rsid w:val="00E713DA"/>
    <w:rsid w:val="00E85CF8"/>
    <w:rsid w:val="00EA5775"/>
    <w:rsid w:val="00EB353E"/>
    <w:rsid w:val="00ED51D7"/>
    <w:rsid w:val="00EE1DF0"/>
    <w:rsid w:val="00F01887"/>
    <w:rsid w:val="00F04AA3"/>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2472</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2017-06-27T13:31:00Z</dcterms:created>
  <dcterms:modified xsi:type="dcterms:W3CDTF">2017-06-27T13:31:00Z</dcterms:modified>
</cp:coreProperties>
</file>