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7A7" w:rsidRDefault="000D47A7" w:rsidP="00654BEA">
      <w:pPr>
        <w:spacing w:line="360" w:lineRule="auto"/>
        <w:jc w:val="center"/>
        <w:rPr>
          <w:b/>
          <w:bCs/>
        </w:rPr>
      </w:pPr>
      <w:r>
        <w:rPr>
          <w:b/>
          <w:bCs/>
          <w:noProof/>
          <w:lang w:val="en-US"/>
        </w:rPr>
        <w:drawing>
          <wp:anchor distT="0" distB="0" distL="114300" distR="114300" simplePos="0" relativeHeight="251658240" behindDoc="0" locked="0" layoutInCell="1" allowOverlap="1">
            <wp:simplePos x="0" y="0"/>
            <wp:positionH relativeFrom="column">
              <wp:posOffset>4357370</wp:posOffset>
            </wp:positionH>
            <wp:positionV relativeFrom="paragraph">
              <wp:posOffset>138430</wp:posOffset>
            </wp:positionV>
            <wp:extent cx="1338470" cy="1282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38470" cy="1282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47A7" w:rsidRDefault="000D47A7" w:rsidP="00654BEA">
      <w:pPr>
        <w:spacing w:line="360" w:lineRule="auto"/>
        <w:jc w:val="center"/>
        <w:rPr>
          <w:b/>
          <w:bCs/>
        </w:rPr>
      </w:pPr>
    </w:p>
    <w:p w:rsidR="000D47A7" w:rsidRDefault="000D47A7" w:rsidP="00654BEA">
      <w:pPr>
        <w:spacing w:line="360" w:lineRule="auto"/>
        <w:jc w:val="center"/>
        <w:rPr>
          <w:b/>
          <w:bCs/>
        </w:rPr>
      </w:pPr>
    </w:p>
    <w:p w:rsidR="000D47A7" w:rsidRDefault="000D47A7" w:rsidP="00654BEA">
      <w:pPr>
        <w:spacing w:line="360" w:lineRule="auto"/>
        <w:jc w:val="center"/>
        <w:rPr>
          <w:b/>
          <w:bCs/>
        </w:rPr>
      </w:pPr>
    </w:p>
    <w:p w:rsidR="000D47A7" w:rsidRDefault="000D47A7" w:rsidP="00654BEA">
      <w:pPr>
        <w:spacing w:line="360" w:lineRule="auto"/>
        <w:jc w:val="center"/>
        <w:rPr>
          <w:b/>
          <w:bCs/>
        </w:rPr>
      </w:pPr>
    </w:p>
    <w:p w:rsidR="000D47A7" w:rsidRDefault="000D47A7" w:rsidP="00654BEA">
      <w:pPr>
        <w:spacing w:line="360" w:lineRule="auto"/>
        <w:jc w:val="center"/>
        <w:rPr>
          <w:b/>
          <w:bCs/>
        </w:rPr>
      </w:pPr>
    </w:p>
    <w:p w:rsidR="00654BEA" w:rsidRPr="00D81F88" w:rsidRDefault="00D81F88" w:rsidP="00D81F88">
      <w:pPr>
        <w:spacing w:line="360" w:lineRule="auto"/>
        <w:jc w:val="center"/>
        <w:rPr>
          <w:rFonts w:asciiTheme="majorBidi" w:hAnsiTheme="majorBidi" w:cstheme="majorBidi"/>
          <w:b/>
          <w:bCs/>
          <w:shd w:val="clear" w:color="auto" w:fill="FFFFFF"/>
        </w:rPr>
      </w:pPr>
      <w:proofErr w:type="spellStart"/>
      <w:r w:rsidRPr="00D81F88">
        <w:rPr>
          <w:rFonts w:asciiTheme="majorBidi" w:hAnsiTheme="majorBidi" w:cstheme="majorBidi"/>
          <w:b/>
          <w:bCs/>
          <w:color w:val="000000"/>
          <w:shd w:val="clear" w:color="auto" w:fill="FFFFFF"/>
        </w:rPr>
        <w:t>Disubstituted</w:t>
      </w:r>
      <w:proofErr w:type="spellEnd"/>
      <w:r w:rsidRPr="00D81F88">
        <w:rPr>
          <w:rFonts w:asciiTheme="majorBidi" w:hAnsiTheme="majorBidi" w:cstheme="majorBidi"/>
          <w:b/>
          <w:bCs/>
          <w:color w:val="000000"/>
          <w:shd w:val="clear" w:color="auto" w:fill="FFFFFF"/>
        </w:rPr>
        <w:t xml:space="preserve"> </w:t>
      </w:r>
      <w:proofErr w:type="spellStart"/>
      <w:r w:rsidRPr="00D81F88">
        <w:rPr>
          <w:rFonts w:asciiTheme="majorBidi" w:hAnsiTheme="majorBidi" w:cstheme="majorBidi"/>
          <w:b/>
          <w:bCs/>
          <w:color w:val="000000"/>
          <w:shd w:val="clear" w:color="auto" w:fill="FFFFFF"/>
        </w:rPr>
        <w:t>Pyrazoles</w:t>
      </w:r>
      <w:proofErr w:type="spellEnd"/>
      <w:r w:rsidR="00654BEA" w:rsidRPr="005D4750">
        <w:rPr>
          <w:b/>
          <w:bCs/>
        </w:rPr>
        <w:t xml:space="preserve"> </w:t>
      </w:r>
      <w:r w:rsidR="00654BEA">
        <w:rPr>
          <w:b/>
          <w:bCs/>
        </w:rPr>
        <w:t>a New Class of Hsp90 Inhibitors in Hepatocellular Carcinoma</w:t>
      </w:r>
    </w:p>
    <w:p w:rsidR="00654BEA" w:rsidRDefault="00654BEA" w:rsidP="000754C6">
      <w:pPr>
        <w:spacing w:line="360" w:lineRule="auto"/>
        <w:jc w:val="center"/>
        <w:rPr>
          <w:b/>
          <w:bCs/>
        </w:rPr>
      </w:pPr>
      <w:r w:rsidRPr="00A73FBC">
        <w:rPr>
          <w:b/>
          <w:bCs/>
        </w:rPr>
        <w:t>Samy Mohamady</w:t>
      </w:r>
    </w:p>
    <w:p w:rsidR="000754C6" w:rsidRPr="000754C6" w:rsidRDefault="000754C6" w:rsidP="000754C6">
      <w:pPr>
        <w:spacing w:line="276" w:lineRule="auto"/>
        <w:ind w:left="567" w:right="429"/>
        <w:jc w:val="both"/>
        <w:rPr>
          <w:iCs/>
        </w:rPr>
      </w:pPr>
      <w:r w:rsidRPr="000754C6">
        <w:rPr>
          <w:iCs/>
        </w:rPr>
        <w:t>Department of Pharmaceutical Chemistry, Faculty of Pharmacy, The British University in Egypt, Al-</w:t>
      </w:r>
      <w:proofErr w:type="spellStart"/>
      <w:r w:rsidRPr="000754C6">
        <w:rPr>
          <w:iCs/>
        </w:rPr>
        <w:t>Sherouk</w:t>
      </w:r>
      <w:proofErr w:type="spellEnd"/>
      <w:r w:rsidRPr="000754C6">
        <w:rPr>
          <w:iCs/>
        </w:rPr>
        <w:t xml:space="preserve"> City, Cairo-Suez Desert Road, 11837, Cairo, Egypt. </w:t>
      </w:r>
    </w:p>
    <w:p w:rsidR="00654BEA" w:rsidRDefault="00654BEA" w:rsidP="00654BEA">
      <w:pPr>
        <w:spacing w:line="360" w:lineRule="auto"/>
        <w:rPr>
          <w:b/>
          <w:bCs/>
          <w:lang w:val="en-US"/>
        </w:rPr>
      </w:pPr>
    </w:p>
    <w:p w:rsidR="00654BEA" w:rsidRDefault="00654BEA" w:rsidP="00654BEA">
      <w:pPr>
        <w:spacing w:line="360" w:lineRule="auto"/>
        <w:jc w:val="both"/>
      </w:pPr>
      <w:r>
        <w:t xml:space="preserve">Although hepatocellular carcinoma (HCC)-related mortality has increased over the past decades, treatment options are still very limited, underlining the need for developing new therapeutic strategies. The molecular chaperone Hsp90 plays a key role in post-translational maturation of many oncogenic client proteins that are important for survival and proliferation of cancer cells. Thus, inhibitors of Hsp90 are promising targets for many cancer types. In this study, 15 </w:t>
      </w:r>
      <w:proofErr w:type="spellStart"/>
      <w:r>
        <w:t>diarylpyrazole</w:t>
      </w:r>
      <w:proofErr w:type="spellEnd"/>
      <w:r>
        <w:t xml:space="preserve"> compounds were screened against MCF7 and HepG2 cell lines.  Compound </w:t>
      </w:r>
      <w:r w:rsidRPr="00856F1B">
        <w:rPr>
          <w:b/>
          <w:bCs/>
        </w:rPr>
        <w:t>8</w:t>
      </w:r>
      <w:r>
        <w:t xml:space="preserve">, which contained a </w:t>
      </w:r>
      <w:proofErr w:type="spellStart"/>
      <w:r>
        <w:t>thiophene</w:t>
      </w:r>
      <w:proofErr w:type="spellEnd"/>
      <w:r>
        <w:t xml:space="preserve"> group, demonstrated the highest </w:t>
      </w:r>
      <w:proofErr w:type="spellStart"/>
      <w:r>
        <w:t>antiproliferative</w:t>
      </w:r>
      <w:proofErr w:type="spellEnd"/>
      <w:r>
        <w:t xml:space="preserve"> activity against HepG2 cells having an IC</w:t>
      </w:r>
      <w:r w:rsidRPr="0064341D">
        <w:rPr>
          <w:vertAlign w:val="subscript"/>
        </w:rPr>
        <w:t>50</w:t>
      </w:r>
      <w:r>
        <w:t xml:space="preserve"> of </w:t>
      </w:r>
      <w:r>
        <w:rPr>
          <w:rFonts w:asciiTheme="majorBidi" w:hAnsiTheme="majorBidi" w:cstheme="majorBidi"/>
        </w:rPr>
        <w:t xml:space="preserve">0.083 </w:t>
      </w:r>
      <w:proofErr w:type="spellStart"/>
      <w:r w:rsidRPr="000D687E">
        <w:rPr>
          <w:rFonts w:asciiTheme="majorBidi" w:hAnsiTheme="majorBidi" w:cstheme="majorBidi"/>
        </w:rPr>
        <w:t>μ</w:t>
      </w:r>
      <w:r>
        <w:rPr>
          <w:rFonts w:asciiTheme="majorBidi" w:hAnsiTheme="majorBidi" w:cstheme="majorBidi"/>
        </w:rPr>
        <w:t>M</w:t>
      </w:r>
      <w:proofErr w:type="spellEnd"/>
      <w:r>
        <w:rPr>
          <w:rFonts w:asciiTheme="majorBidi" w:hAnsiTheme="majorBidi" w:cstheme="majorBidi"/>
        </w:rPr>
        <w:t xml:space="preserve">. Four additional </w:t>
      </w:r>
      <w:proofErr w:type="spellStart"/>
      <w:r>
        <w:t>diarylpyrazole</w:t>
      </w:r>
      <w:r>
        <w:rPr>
          <w:rFonts w:asciiTheme="majorBidi" w:hAnsiTheme="majorBidi" w:cstheme="majorBidi"/>
        </w:rPr>
        <w:t>s</w:t>
      </w:r>
      <w:proofErr w:type="spellEnd"/>
      <w:r>
        <w:rPr>
          <w:rFonts w:asciiTheme="majorBidi" w:hAnsiTheme="majorBidi" w:cstheme="majorBidi"/>
        </w:rPr>
        <w:t xml:space="preserve">, each containing a </w:t>
      </w:r>
      <w:proofErr w:type="spellStart"/>
      <w:r>
        <w:rPr>
          <w:rFonts w:asciiTheme="majorBidi" w:hAnsiTheme="majorBidi" w:cstheme="majorBidi"/>
        </w:rPr>
        <w:t>thiophene</w:t>
      </w:r>
      <w:proofErr w:type="spellEnd"/>
      <w:r>
        <w:rPr>
          <w:rFonts w:asciiTheme="majorBidi" w:hAnsiTheme="majorBidi" w:cstheme="majorBidi"/>
        </w:rPr>
        <w:t xml:space="preserve"> group, were prepared and screened for </w:t>
      </w:r>
      <w:proofErr w:type="spellStart"/>
      <w:r>
        <w:t>antiproliferative</w:t>
      </w:r>
      <w:proofErr w:type="spellEnd"/>
      <w:r>
        <w:t xml:space="preserve"> activity. </w:t>
      </w:r>
      <w:r>
        <w:rPr>
          <w:rFonts w:asciiTheme="majorBidi" w:hAnsiTheme="majorBidi" w:cstheme="majorBidi"/>
        </w:rPr>
        <w:t xml:space="preserve">None of these four compounds exhibited superior activity to compound </w:t>
      </w:r>
      <w:r w:rsidRPr="00A04D3A">
        <w:rPr>
          <w:rFonts w:asciiTheme="majorBidi" w:hAnsiTheme="majorBidi" w:cstheme="majorBidi"/>
          <w:b/>
          <w:bCs/>
        </w:rPr>
        <w:t>8</w:t>
      </w:r>
      <w:r>
        <w:rPr>
          <w:rFonts w:asciiTheme="majorBidi" w:hAnsiTheme="majorBidi" w:cstheme="majorBidi"/>
        </w:rPr>
        <w:t xml:space="preserve"> on HepG2 cells. Therefore, compound </w:t>
      </w:r>
      <w:r w:rsidRPr="00A04D3A">
        <w:rPr>
          <w:rFonts w:asciiTheme="majorBidi" w:hAnsiTheme="majorBidi" w:cstheme="majorBidi"/>
          <w:b/>
          <w:bCs/>
        </w:rPr>
        <w:t>8</w:t>
      </w:r>
      <w:r>
        <w:rPr>
          <w:rFonts w:asciiTheme="majorBidi" w:hAnsiTheme="majorBidi" w:cstheme="majorBidi"/>
        </w:rPr>
        <w:t xml:space="preserve"> was selected for further </w:t>
      </w:r>
      <w:r w:rsidRPr="00604D6C">
        <w:rPr>
          <w:rFonts w:asciiTheme="majorBidi" w:hAnsiTheme="majorBidi" w:cstheme="majorBidi"/>
          <w:i/>
          <w:iCs/>
        </w:rPr>
        <w:t>in vitro</w:t>
      </w:r>
      <w:r>
        <w:rPr>
          <w:rFonts w:asciiTheme="majorBidi" w:hAnsiTheme="majorBidi" w:cstheme="majorBidi"/>
        </w:rPr>
        <w:t xml:space="preserve"> assays. Cell cycle arrest was observed at the G2 phase in compound </w:t>
      </w:r>
      <w:r w:rsidRPr="00A04D3A">
        <w:rPr>
          <w:rFonts w:asciiTheme="majorBidi" w:hAnsiTheme="majorBidi" w:cstheme="majorBidi"/>
          <w:b/>
          <w:bCs/>
        </w:rPr>
        <w:t>8</w:t>
      </w:r>
      <w:r>
        <w:rPr>
          <w:rFonts w:asciiTheme="majorBidi" w:hAnsiTheme="majorBidi" w:cstheme="majorBidi"/>
        </w:rPr>
        <w:t xml:space="preserve">-treated cells. Compound </w:t>
      </w:r>
      <w:r w:rsidRPr="00A04D3A">
        <w:rPr>
          <w:rFonts w:asciiTheme="majorBidi" w:hAnsiTheme="majorBidi" w:cstheme="majorBidi"/>
          <w:b/>
          <w:bCs/>
        </w:rPr>
        <w:t>8</w:t>
      </w:r>
      <w:r>
        <w:rPr>
          <w:rFonts w:asciiTheme="majorBidi" w:hAnsiTheme="majorBidi" w:cstheme="majorBidi"/>
        </w:rPr>
        <w:t xml:space="preserve"> also caused a 7.7-fold increase in caspase-3. These results confirm the apoptotic effect of compound </w:t>
      </w:r>
      <w:r w:rsidRPr="00A04D3A">
        <w:rPr>
          <w:rFonts w:asciiTheme="majorBidi" w:hAnsiTheme="majorBidi" w:cstheme="majorBidi"/>
          <w:b/>
          <w:bCs/>
        </w:rPr>
        <w:t>8</w:t>
      </w:r>
      <w:r>
        <w:rPr>
          <w:rFonts w:asciiTheme="majorBidi" w:hAnsiTheme="majorBidi" w:cstheme="majorBidi"/>
        </w:rPr>
        <w:t xml:space="preserve"> on HepG2 cells. Moreover, compound </w:t>
      </w:r>
      <w:r w:rsidRPr="00A04D3A">
        <w:rPr>
          <w:rFonts w:asciiTheme="majorBidi" w:hAnsiTheme="majorBidi" w:cstheme="majorBidi"/>
          <w:b/>
          <w:bCs/>
        </w:rPr>
        <w:t>8</w:t>
      </w:r>
      <w:r>
        <w:rPr>
          <w:rFonts w:asciiTheme="majorBidi" w:hAnsiTheme="majorBidi" w:cstheme="majorBidi"/>
        </w:rPr>
        <w:t xml:space="preserve"> inhibited HSP90 (IC</w:t>
      </w:r>
      <w:r w:rsidRPr="00793E62">
        <w:rPr>
          <w:rFonts w:asciiTheme="majorBidi" w:hAnsiTheme="majorBidi" w:cstheme="majorBidi"/>
          <w:vertAlign w:val="subscript"/>
        </w:rPr>
        <w:t>50</w:t>
      </w:r>
      <w:r>
        <w:rPr>
          <w:rFonts w:asciiTheme="majorBidi" w:hAnsiTheme="majorBidi" w:cstheme="majorBidi"/>
        </w:rPr>
        <w:t xml:space="preserve"> </w:t>
      </w:r>
      <w:r w:rsidRPr="00006F78">
        <w:rPr>
          <w:rFonts w:asciiTheme="majorBidi" w:hAnsiTheme="majorBidi" w:cstheme="majorBidi"/>
        </w:rPr>
        <w:t>= 2.67±0.18 µM)</w:t>
      </w:r>
      <w:r>
        <w:rPr>
          <w:rFonts w:asciiTheme="majorBidi" w:hAnsiTheme="majorBidi" w:cstheme="majorBidi"/>
        </w:rPr>
        <w:t xml:space="preserve"> in an </w:t>
      </w:r>
      <w:r w:rsidRPr="00793E62">
        <w:rPr>
          <w:rFonts w:asciiTheme="majorBidi" w:hAnsiTheme="majorBidi" w:cstheme="majorBidi"/>
          <w:i/>
          <w:iCs/>
        </w:rPr>
        <w:t>in vitro</w:t>
      </w:r>
      <w:r>
        <w:rPr>
          <w:rFonts w:asciiTheme="majorBidi" w:hAnsiTheme="majorBidi" w:cstheme="majorBidi"/>
        </w:rPr>
        <w:t xml:space="preserve"> assay and caused a 70.8% reduction in HSP90 levels in a cell-based HepG2 assay. Additionally, compound </w:t>
      </w:r>
      <w:r w:rsidRPr="00A04D3A">
        <w:rPr>
          <w:rFonts w:asciiTheme="majorBidi" w:hAnsiTheme="majorBidi" w:cstheme="majorBidi"/>
          <w:b/>
          <w:bCs/>
        </w:rPr>
        <w:t>8</w:t>
      </w:r>
      <w:r>
        <w:rPr>
          <w:rFonts w:asciiTheme="majorBidi" w:hAnsiTheme="majorBidi" w:cstheme="majorBidi"/>
        </w:rPr>
        <w:t xml:space="preserve"> caused significant reduction in the levels of HSP90 client proteins (</w:t>
      </w:r>
      <w:proofErr w:type="spellStart"/>
      <w:r>
        <w:rPr>
          <w:rFonts w:asciiTheme="majorBidi" w:hAnsiTheme="majorBidi" w:cstheme="majorBidi"/>
        </w:rPr>
        <w:t>Akt</w:t>
      </w:r>
      <w:proofErr w:type="spellEnd"/>
      <w:r>
        <w:rPr>
          <w:rFonts w:asciiTheme="majorBidi" w:hAnsiTheme="majorBidi" w:cstheme="majorBidi"/>
        </w:rPr>
        <w:t>, c-Met, c-</w:t>
      </w:r>
      <w:proofErr w:type="spellStart"/>
      <w:r>
        <w:rPr>
          <w:rFonts w:asciiTheme="majorBidi" w:hAnsiTheme="majorBidi" w:cstheme="majorBidi"/>
        </w:rPr>
        <w:t>Raf</w:t>
      </w:r>
      <w:proofErr w:type="spellEnd"/>
      <w:r>
        <w:rPr>
          <w:rFonts w:asciiTheme="majorBidi" w:hAnsiTheme="majorBidi" w:cstheme="majorBidi"/>
        </w:rPr>
        <w:t xml:space="preserve">, and EGFR) and a 1.57-fold increase in HSP70. Compound </w:t>
      </w:r>
      <w:r w:rsidRPr="00A04D3A">
        <w:rPr>
          <w:rFonts w:asciiTheme="majorBidi" w:hAnsiTheme="majorBidi" w:cstheme="majorBidi"/>
          <w:b/>
          <w:bCs/>
        </w:rPr>
        <w:t>8</w:t>
      </w:r>
      <w:r>
        <w:rPr>
          <w:rFonts w:asciiTheme="majorBidi" w:hAnsiTheme="majorBidi" w:cstheme="majorBidi"/>
        </w:rPr>
        <w:t xml:space="preserve"> induced inhibition of client proteins and increase in Hsp70 further confirmed the inhibition of Hsp90. Molecular docking studies were also </w:t>
      </w:r>
      <w:r w:rsidRPr="00006F78">
        <w:rPr>
          <w:rFonts w:asciiTheme="majorBidi" w:hAnsiTheme="majorBidi" w:cstheme="majorBidi"/>
        </w:rPr>
        <w:t>performed to predict the</w:t>
      </w:r>
      <w:r>
        <w:rPr>
          <w:rFonts w:asciiTheme="majorBidi" w:hAnsiTheme="majorBidi" w:cstheme="majorBidi"/>
        </w:rPr>
        <w:t xml:space="preserve"> binding mode of compound </w:t>
      </w:r>
      <w:r w:rsidRPr="00A04D3A">
        <w:rPr>
          <w:rFonts w:asciiTheme="majorBidi" w:hAnsiTheme="majorBidi" w:cstheme="majorBidi"/>
          <w:b/>
          <w:bCs/>
        </w:rPr>
        <w:t>8</w:t>
      </w:r>
      <w:r>
        <w:rPr>
          <w:rFonts w:asciiTheme="majorBidi" w:hAnsiTheme="majorBidi" w:cstheme="majorBidi"/>
          <w:b/>
          <w:bCs/>
        </w:rPr>
        <w:t xml:space="preserve"> </w:t>
      </w:r>
      <w:r w:rsidRPr="00BF0D5F">
        <w:rPr>
          <w:rFonts w:asciiTheme="majorBidi" w:hAnsiTheme="majorBidi" w:cstheme="majorBidi"/>
        </w:rPr>
        <w:t xml:space="preserve">and </w:t>
      </w:r>
      <w:r>
        <w:rPr>
          <w:rFonts w:asciiTheme="majorBidi" w:hAnsiTheme="majorBidi" w:cstheme="majorBidi"/>
        </w:rPr>
        <w:t xml:space="preserve">followed by molecular dynamics </w:t>
      </w:r>
      <w:r w:rsidRPr="00006F78">
        <w:rPr>
          <w:rFonts w:asciiTheme="majorBidi" w:hAnsiTheme="majorBidi" w:cstheme="majorBidi"/>
        </w:rPr>
        <w:t>simulations</w:t>
      </w:r>
      <w:r w:rsidRPr="00006F78">
        <w:t xml:space="preserve"> to give further insights into the binding mode of </w:t>
      </w:r>
      <w:r w:rsidRPr="00006F78">
        <w:rPr>
          <w:b/>
          <w:bCs/>
        </w:rPr>
        <w:t>8</w:t>
      </w:r>
      <w:r w:rsidRPr="00006F78">
        <w:rPr>
          <w:rFonts w:asciiTheme="majorBidi" w:hAnsiTheme="majorBidi" w:cstheme="majorBidi"/>
        </w:rPr>
        <w:t>.</w:t>
      </w:r>
      <w:r>
        <w:rPr>
          <w:rFonts w:asciiTheme="majorBidi" w:hAnsiTheme="majorBidi" w:cstheme="majorBidi"/>
        </w:rPr>
        <w:t xml:space="preserve"> </w:t>
      </w:r>
      <w:r>
        <w:t xml:space="preserve">  </w:t>
      </w:r>
    </w:p>
    <w:p w:rsidR="00CC09A6" w:rsidRDefault="00654BEA">
      <w:r>
        <w:rPr>
          <w:noProof/>
          <w:lang w:val="en-US"/>
        </w:rPr>
        <w:lastRenderedPageBreak/>
        <w:drawing>
          <wp:inline distT="0" distB="0" distL="0" distR="0">
            <wp:extent cx="5939790" cy="3538220"/>
            <wp:effectExtent l="0" t="0" r="381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9790" cy="3538220"/>
                    </a:xfrm>
                    <a:prstGeom prst="rect">
                      <a:avLst/>
                    </a:prstGeom>
                    <a:noFill/>
                    <a:ln>
                      <a:noFill/>
                    </a:ln>
                  </pic:spPr>
                </pic:pic>
              </a:graphicData>
            </a:graphic>
          </wp:inline>
        </w:drawing>
      </w:r>
    </w:p>
    <w:p w:rsidR="00D35AB5" w:rsidRDefault="00D35AB5"/>
    <w:p w:rsidR="00D35AB5" w:rsidRPr="00D35AB5" w:rsidRDefault="00D35AB5">
      <w:pPr>
        <w:rPr>
          <w:b/>
          <w:bCs/>
        </w:rPr>
      </w:pPr>
      <w:r w:rsidRPr="00D35AB5">
        <w:rPr>
          <w:b/>
          <w:bCs/>
        </w:rPr>
        <w:t>Biography</w:t>
      </w:r>
    </w:p>
    <w:p w:rsidR="00D35AB5" w:rsidRDefault="00D35AB5">
      <w:pPr>
        <w:rPr>
          <w:rFonts w:asciiTheme="majorBidi" w:hAnsiTheme="majorBidi" w:cstheme="majorBidi"/>
          <w:shd w:val="clear" w:color="auto" w:fill="F5F5F5"/>
        </w:rPr>
      </w:pPr>
      <w:r>
        <w:rPr>
          <w:rFonts w:asciiTheme="majorBidi" w:hAnsiTheme="majorBidi" w:cstheme="majorBidi"/>
          <w:shd w:val="clear" w:color="auto" w:fill="F5F5F5"/>
        </w:rPr>
        <w:t>Dr. Samy Mohamady has obtained his B.Sc. Pharmacy</w:t>
      </w:r>
      <w:r w:rsidRPr="00D35AB5">
        <w:rPr>
          <w:rFonts w:asciiTheme="majorBidi" w:hAnsiTheme="majorBidi" w:cstheme="majorBidi"/>
          <w:shd w:val="clear" w:color="auto" w:fill="F5F5F5"/>
        </w:rPr>
        <w:t xml:space="preserve"> (Honours), Tanta University Egypt.  M.Sc. Bioorganic Medicinal Chemistry 2005, Department of Chemistry Dalhousie University, Canada. Master’s thesis title: “An Improved Method for the Synthesis of Nucleoside Triphosphate Analogues” Ph.D. Bioorganic Medicinal Chemistry 2013, University of Waterloo, Canada. Thesis title: “Synthesis of nucleoside polyphosphates and their conjugates”</w:t>
      </w:r>
      <w:r>
        <w:rPr>
          <w:rFonts w:asciiTheme="majorBidi" w:hAnsiTheme="majorBidi" w:cstheme="majorBidi"/>
          <w:shd w:val="clear" w:color="auto" w:fill="F5F5F5"/>
        </w:rPr>
        <w:t xml:space="preserve">. He is currently assistant professor at the Department of Pharmaceutical Chemistry, The British University in Egypt. Dr. </w:t>
      </w:r>
      <w:proofErr w:type="spellStart"/>
      <w:r>
        <w:rPr>
          <w:rFonts w:asciiTheme="majorBidi" w:hAnsiTheme="majorBidi" w:cstheme="majorBidi"/>
          <w:shd w:val="clear" w:color="auto" w:fill="F5F5F5"/>
        </w:rPr>
        <w:t>Mohamady’s</w:t>
      </w:r>
      <w:proofErr w:type="spellEnd"/>
      <w:r>
        <w:rPr>
          <w:rFonts w:asciiTheme="majorBidi" w:hAnsiTheme="majorBidi" w:cstheme="majorBidi"/>
          <w:shd w:val="clear" w:color="auto" w:fill="F5F5F5"/>
        </w:rPr>
        <w:t xml:space="preserve"> mai</w:t>
      </w:r>
      <w:r w:rsidR="00980E9B">
        <w:rPr>
          <w:rFonts w:asciiTheme="majorBidi" w:hAnsiTheme="majorBidi" w:cstheme="majorBidi"/>
          <w:shd w:val="clear" w:color="auto" w:fill="F5F5F5"/>
        </w:rPr>
        <w:t>n</w:t>
      </w:r>
      <w:r>
        <w:rPr>
          <w:rFonts w:asciiTheme="majorBidi" w:hAnsiTheme="majorBidi" w:cstheme="majorBidi"/>
          <w:shd w:val="clear" w:color="auto" w:fill="F5F5F5"/>
        </w:rPr>
        <w:t xml:space="preserve"> </w:t>
      </w:r>
      <w:r w:rsidR="00980E9B">
        <w:rPr>
          <w:rFonts w:asciiTheme="majorBidi" w:hAnsiTheme="majorBidi" w:cstheme="majorBidi"/>
          <w:shd w:val="clear" w:color="auto" w:fill="F5F5F5"/>
        </w:rPr>
        <w:t>interests are drug discovery,</w:t>
      </w:r>
      <w:r>
        <w:rPr>
          <w:rFonts w:asciiTheme="majorBidi" w:hAnsiTheme="majorBidi" w:cstheme="majorBidi"/>
          <w:shd w:val="clear" w:color="auto" w:fill="F5F5F5"/>
        </w:rPr>
        <w:t xml:space="preserve"> medicinal chemistry as well </w:t>
      </w:r>
      <w:r w:rsidR="00980E9B">
        <w:rPr>
          <w:rFonts w:asciiTheme="majorBidi" w:hAnsiTheme="majorBidi" w:cstheme="majorBidi"/>
          <w:shd w:val="clear" w:color="auto" w:fill="F5F5F5"/>
        </w:rPr>
        <w:t xml:space="preserve">as </w:t>
      </w:r>
      <w:r>
        <w:rPr>
          <w:rFonts w:asciiTheme="majorBidi" w:hAnsiTheme="majorBidi" w:cstheme="majorBidi"/>
          <w:shd w:val="clear" w:color="auto" w:fill="F5F5F5"/>
        </w:rPr>
        <w:t>development of novel synthetic reaction methodologies.</w:t>
      </w:r>
      <w:bookmarkStart w:id="0" w:name="_GoBack"/>
      <w:bookmarkEnd w:id="0"/>
    </w:p>
    <w:p w:rsidR="00D35AB5" w:rsidRDefault="00D35AB5">
      <w:pPr>
        <w:rPr>
          <w:rFonts w:asciiTheme="majorBidi" w:hAnsiTheme="majorBidi" w:cstheme="majorBidi"/>
          <w:shd w:val="clear" w:color="auto" w:fill="F5F5F5"/>
        </w:rPr>
      </w:pPr>
    </w:p>
    <w:p w:rsidR="00D35AB5" w:rsidRPr="008A690F" w:rsidRDefault="00D35AB5" w:rsidP="00D35AB5">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Samy Mohamady </w:t>
      </w:r>
      <w:proofErr w:type="spellStart"/>
      <w:r>
        <w:rPr>
          <w:lang w:val="en-NZ"/>
        </w:rPr>
        <w:t>Mohamady</w:t>
      </w:r>
      <w:proofErr w:type="spellEnd"/>
      <w:r>
        <w:rPr>
          <w:lang w:val="en-NZ"/>
        </w:rPr>
        <w:t xml:space="preserve"> Ahmed</w:t>
      </w:r>
      <w:r w:rsidRPr="008A690F">
        <w:rPr>
          <w:lang w:val="en-NZ"/>
        </w:rPr>
        <w:br/>
        <w:t>Contact number:</w:t>
      </w:r>
      <w:r>
        <w:rPr>
          <w:lang w:val="en-NZ"/>
        </w:rPr>
        <w:t xml:space="preserve"> Mobile phone: 00201065667596</w:t>
      </w:r>
      <w:r w:rsidR="00BF1AF5">
        <w:rPr>
          <w:lang w:val="en-NZ"/>
        </w:rPr>
        <w:br/>
        <w:t>email: samy.mohamady@bue.edu.eg</w:t>
      </w:r>
    </w:p>
    <w:p w:rsidR="00D35AB5" w:rsidRDefault="00D35AB5" w:rsidP="00D35AB5">
      <w:pPr>
        <w:autoSpaceDE w:val="0"/>
        <w:autoSpaceDN w:val="0"/>
        <w:adjustRightInd w:val="0"/>
        <w:rPr>
          <w:lang w:val="en-NZ"/>
        </w:rPr>
      </w:pPr>
      <w:r w:rsidRPr="008A690F">
        <w:rPr>
          <w:lang w:val="en-NZ"/>
        </w:rPr>
        <w:t>Session name/ number:</w:t>
      </w:r>
      <w:r w:rsidR="00931827">
        <w:rPr>
          <w:lang w:val="en-NZ"/>
        </w:rPr>
        <w:t xml:space="preserve"> Medicinal Chemistry</w:t>
      </w:r>
      <w:r w:rsidRPr="008A690F">
        <w:rPr>
          <w:lang w:val="en-NZ"/>
        </w:rPr>
        <w:br/>
        <w:t>Cate</w:t>
      </w:r>
      <w:r w:rsidR="00635480">
        <w:rPr>
          <w:lang w:val="en-NZ"/>
        </w:rPr>
        <w:t xml:space="preserve">gory: </w:t>
      </w:r>
      <w:r w:rsidR="00635480" w:rsidRPr="00103405">
        <w:rPr>
          <w:u w:val="single"/>
          <w:lang w:val="en-NZ"/>
        </w:rPr>
        <w:t>Oral presentation</w:t>
      </w:r>
      <w:r>
        <w:rPr>
          <w:lang w:val="en-NZ"/>
        </w:rPr>
        <w:br/>
      </w:r>
    </w:p>
    <w:p w:rsidR="00D35AB5" w:rsidRPr="00D35AB5" w:rsidRDefault="00D35AB5">
      <w:pPr>
        <w:rPr>
          <w:rFonts w:asciiTheme="majorBidi" w:hAnsiTheme="majorBidi" w:cstheme="majorBidi"/>
          <w:lang w:val="en-NZ"/>
        </w:rPr>
      </w:pPr>
    </w:p>
    <w:sectPr w:rsidR="00D35AB5" w:rsidRPr="00D35A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A84"/>
    <w:rsid w:val="00006F78"/>
    <w:rsid w:val="000754C6"/>
    <w:rsid w:val="000D47A7"/>
    <w:rsid w:val="00103405"/>
    <w:rsid w:val="00635480"/>
    <w:rsid w:val="00654BEA"/>
    <w:rsid w:val="00677FBA"/>
    <w:rsid w:val="008E4A84"/>
    <w:rsid w:val="00931827"/>
    <w:rsid w:val="00980E9B"/>
    <w:rsid w:val="00A73FBC"/>
    <w:rsid w:val="00BF1AF5"/>
    <w:rsid w:val="00CC09A6"/>
    <w:rsid w:val="00D35AB5"/>
    <w:rsid w:val="00D81F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179996-9BA3-4523-910A-83C3A2631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BEA"/>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samy.mohamady</dc:creator>
  <cp:keywords/>
  <dc:description/>
  <cp:lastModifiedBy>samy.mohamady</cp:lastModifiedBy>
  <cp:revision>3</cp:revision>
  <dcterms:created xsi:type="dcterms:W3CDTF">2019-10-16T07:57:00Z</dcterms:created>
  <dcterms:modified xsi:type="dcterms:W3CDTF">2019-10-16T08:02:00Z</dcterms:modified>
</cp:coreProperties>
</file>