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842" w:rsidRPr="008A12DE" w:rsidRDefault="00714842" w:rsidP="00A93E7E">
      <w:pPr>
        <w:spacing w:after="0"/>
        <w:rPr>
          <w:color w:val="365F91" w:themeColor="accent1" w:themeShade="BF"/>
        </w:rPr>
      </w:pPr>
      <w:bookmarkStart w:id="0" w:name="_GoBack"/>
      <w:r w:rsidRPr="008A12DE">
        <w:rPr>
          <w:rFonts w:ascii="Times New Roman" w:hAnsi="Times New Roman"/>
          <w:b/>
          <w:color w:val="365F91" w:themeColor="accent1" w:themeShade="BF"/>
          <w:sz w:val="24"/>
          <w:szCs w:val="24"/>
        </w:rPr>
        <w:t>Evaluation of antioxidants in protein formulation against oxidative stress using various biophysical methods</w:t>
      </w:r>
      <w:r w:rsidRPr="008A12DE">
        <w:rPr>
          <w:color w:val="365F91" w:themeColor="accent1" w:themeShade="BF"/>
        </w:rPr>
        <w:t xml:space="preserve"> </w:t>
      </w:r>
    </w:p>
    <w:p w:rsidR="00C74B4B" w:rsidRPr="00C74B4B" w:rsidRDefault="00714842" w:rsidP="00C74B4B">
      <w:proofErr w:type="spellStart"/>
      <w:proofErr w:type="gramStart"/>
      <w:r>
        <w:t>Shavron</w:t>
      </w:r>
      <w:proofErr w:type="spellEnd"/>
      <w:r>
        <w:t xml:space="preserve"> </w:t>
      </w:r>
      <w:proofErr w:type="spellStart"/>
      <w:r>
        <w:t>Hada</w:t>
      </w:r>
      <w:proofErr w:type="spellEnd"/>
      <w:r w:rsidR="00C74B4B" w:rsidRPr="00C74B4B">
        <w:t xml:space="preserve">, </w:t>
      </w:r>
      <w:r>
        <w:t>MS</w:t>
      </w:r>
      <w:r w:rsidR="00C74B4B" w:rsidRPr="00C74B4B">
        <w:t xml:space="preserve">, </w:t>
      </w:r>
      <w:proofErr w:type="spellStart"/>
      <w:r>
        <w:t>Vijayadeep</w:t>
      </w:r>
      <w:proofErr w:type="spellEnd"/>
      <w:r>
        <w:t xml:space="preserve"> Laboratories Ltd.</w:t>
      </w:r>
      <w:r w:rsidR="00C74B4B" w:rsidRPr="00C74B4B">
        <w:t>,</w:t>
      </w:r>
      <w:r>
        <w:t xml:space="preserve"> Nepal.</w:t>
      </w:r>
      <w:proofErr w:type="gramEnd"/>
    </w:p>
    <w:p w:rsidR="00C74B4B" w:rsidRDefault="00C74B4B" w:rsidP="00C74B4B"/>
    <w:p w:rsidR="0029247E" w:rsidRDefault="0029247E" w:rsidP="00C74B4B"/>
    <w:p w:rsidR="0029247E" w:rsidRPr="00C74B4B" w:rsidRDefault="0029247E" w:rsidP="00C74B4B">
      <w:pPr>
        <w:sectPr w:rsidR="0029247E" w:rsidRPr="00C74B4B" w:rsidSect="00C74B4B">
          <w:headerReference w:type="default" r:id="rId8"/>
          <w:footerReference w:type="default" r:id="rId9"/>
          <w:pgSz w:w="11910" w:h="16840"/>
          <w:pgMar w:top="1740" w:right="600" w:bottom="840" w:left="620" w:header="541" w:footer="642" w:gutter="0"/>
          <w:cols w:space="720"/>
        </w:sectPr>
      </w:pPr>
    </w:p>
    <w:p w:rsidR="00C74B4B" w:rsidRPr="008A12DE" w:rsidRDefault="00C74B4B" w:rsidP="00C74B4B">
      <w:pPr>
        <w:rPr>
          <w:b/>
          <w:bCs/>
          <w:color w:val="943634" w:themeColor="accent2" w:themeShade="BF"/>
        </w:rPr>
      </w:pPr>
      <w:r w:rsidRPr="008A12DE">
        <w:rPr>
          <w:b/>
          <w:bCs/>
          <w:color w:val="943634" w:themeColor="accent2" w:themeShade="BF"/>
        </w:rPr>
        <w:lastRenderedPageBreak/>
        <w:t xml:space="preserve">Abstract </w:t>
      </w:r>
    </w:p>
    <w:p w:rsidR="00714842" w:rsidRPr="00714842" w:rsidRDefault="00714842" w:rsidP="00EF251E">
      <w:pPr>
        <w:jc w:val="both"/>
        <w:rPr>
          <w:iCs/>
        </w:rPr>
      </w:pPr>
      <w:r w:rsidRPr="00714842">
        <w:t>To evaluate the biophysical stability of protein as a result of oxidative stress, hydrogen peroxide (H</w:t>
      </w:r>
      <w:r w:rsidRPr="00714842">
        <w:rPr>
          <w:vertAlign w:val="subscript"/>
        </w:rPr>
        <w:t>2</w:t>
      </w:r>
      <w:r w:rsidRPr="00714842">
        <w:t>O</w:t>
      </w:r>
      <w:r w:rsidRPr="00714842">
        <w:rPr>
          <w:vertAlign w:val="subscript"/>
        </w:rPr>
        <w:t>2</w:t>
      </w:r>
      <w:r w:rsidRPr="00714842">
        <w:t xml:space="preserve">) was used to induce non-site-specific protein oxidation. Various biophysical analysis methods were utilized including </w:t>
      </w:r>
      <w:r w:rsidRPr="00714842">
        <w:rPr>
          <w:iCs/>
        </w:rPr>
        <w:t xml:space="preserve">RP-HPLC, DSC, DLS, and CD. Chicken egg white </w:t>
      </w:r>
      <w:proofErr w:type="spellStart"/>
      <w:r w:rsidRPr="00714842">
        <w:rPr>
          <w:iCs/>
        </w:rPr>
        <w:t>lysozyme</w:t>
      </w:r>
      <w:proofErr w:type="spellEnd"/>
      <w:r w:rsidRPr="00714842">
        <w:rPr>
          <w:iCs/>
        </w:rPr>
        <w:t xml:space="preserve"> was chosen as a model protein and three different antioxidants (ascorbic acid, N-acetyl-L-</w:t>
      </w:r>
      <w:proofErr w:type="spellStart"/>
      <w:r w:rsidRPr="00714842">
        <w:rPr>
          <w:iCs/>
        </w:rPr>
        <w:t>cysteine</w:t>
      </w:r>
      <w:proofErr w:type="spellEnd"/>
      <w:r w:rsidRPr="00714842">
        <w:rPr>
          <w:iCs/>
        </w:rPr>
        <w:t>, and L-</w:t>
      </w:r>
      <w:proofErr w:type="spellStart"/>
      <w:r w:rsidRPr="00714842">
        <w:rPr>
          <w:iCs/>
        </w:rPr>
        <w:t>methionine</w:t>
      </w:r>
      <w:proofErr w:type="spellEnd"/>
      <w:r w:rsidRPr="00714842">
        <w:rPr>
          <w:iCs/>
        </w:rPr>
        <w:t>) were selected to observe their effect. Significant increase in hydrodynamic size of protein molecules, decrease in the propensity of α-helix, and increase in β-sheet content evident with increasing H</w:t>
      </w:r>
      <w:r w:rsidRPr="00714842">
        <w:rPr>
          <w:iCs/>
          <w:vertAlign w:val="subscript"/>
        </w:rPr>
        <w:t>2</w:t>
      </w:r>
      <w:r w:rsidRPr="00714842">
        <w:rPr>
          <w:iCs/>
        </w:rPr>
        <w:t>O</w:t>
      </w:r>
      <w:r w:rsidRPr="00714842">
        <w:rPr>
          <w:iCs/>
          <w:vertAlign w:val="subscript"/>
        </w:rPr>
        <w:t>2</w:t>
      </w:r>
      <w:r w:rsidRPr="00714842">
        <w:rPr>
          <w:iCs/>
        </w:rPr>
        <w:t xml:space="preserve"> concentration and temperature suggested </w:t>
      </w:r>
      <w:proofErr w:type="spellStart"/>
      <w:r w:rsidRPr="00714842">
        <w:rPr>
          <w:iCs/>
        </w:rPr>
        <w:t>methionine</w:t>
      </w:r>
      <w:proofErr w:type="spellEnd"/>
      <w:r w:rsidRPr="00714842">
        <w:rPr>
          <w:iCs/>
        </w:rPr>
        <w:t xml:space="preserve"> residues as the most probable site of oxidation. Among the three different anti-oxidants, </w:t>
      </w:r>
      <w:proofErr w:type="spellStart"/>
      <w:r w:rsidRPr="00714842">
        <w:rPr>
          <w:iCs/>
        </w:rPr>
        <w:t>methionine</w:t>
      </w:r>
      <w:proofErr w:type="spellEnd"/>
      <w:r w:rsidRPr="00714842">
        <w:rPr>
          <w:iCs/>
        </w:rPr>
        <w:t xml:space="preserve"> proved superior in suppressing protein oxidation with its increasing concentration. As an antioxidant, </w:t>
      </w:r>
      <w:proofErr w:type="spellStart"/>
      <w:r w:rsidRPr="00714842">
        <w:rPr>
          <w:iCs/>
        </w:rPr>
        <w:t>methionine</w:t>
      </w:r>
      <w:proofErr w:type="spellEnd"/>
      <w:r w:rsidRPr="00714842">
        <w:rPr>
          <w:iCs/>
        </w:rPr>
        <w:t xml:space="preserve"> reacted with </w:t>
      </w:r>
      <w:r w:rsidRPr="00714842">
        <w:t>H</w:t>
      </w:r>
      <w:r w:rsidRPr="00714842">
        <w:rPr>
          <w:vertAlign w:val="subscript"/>
        </w:rPr>
        <w:t>2</w:t>
      </w:r>
      <w:r w:rsidRPr="00714842">
        <w:t>O</w:t>
      </w:r>
      <w:r w:rsidRPr="00714842">
        <w:rPr>
          <w:vertAlign w:val="subscript"/>
        </w:rPr>
        <w:t>2</w:t>
      </w:r>
      <w:r w:rsidRPr="00714842">
        <w:rPr>
          <w:iCs/>
        </w:rPr>
        <w:t xml:space="preserve"> to form </w:t>
      </w:r>
      <w:proofErr w:type="spellStart"/>
      <w:r w:rsidRPr="00714842">
        <w:rPr>
          <w:iCs/>
        </w:rPr>
        <w:t>methionine</w:t>
      </w:r>
      <w:proofErr w:type="spellEnd"/>
      <w:r w:rsidRPr="00714842">
        <w:rPr>
          <w:iCs/>
        </w:rPr>
        <w:t xml:space="preserve"> </w:t>
      </w:r>
      <w:proofErr w:type="spellStart"/>
      <w:r w:rsidRPr="00714842">
        <w:rPr>
          <w:iCs/>
        </w:rPr>
        <w:t>sulfoxide</w:t>
      </w:r>
      <w:proofErr w:type="spellEnd"/>
      <w:r w:rsidRPr="00714842">
        <w:rPr>
          <w:iCs/>
        </w:rPr>
        <w:t xml:space="preserve">, which aided in decreasing the concentration of oxidant in the solution to react with the </w:t>
      </w:r>
      <w:proofErr w:type="spellStart"/>
      <w:r w:rsidRPr="00714842">
        <w:rPr>
          <w:iCs/>
        </w:rPr>
        <w:t>methionine</w:t>
      </w:r>
      <w:proofErr w:type="spellEnd"/>
      <w:r w:rsidRPr="00714842">
        <w:rPr>
          <w:iCs/>
        </w:rPr>
        <w:t xml:space="preserve"> residues in the protein. Additionally, the hydrodynamic size of </w:t>
      </w:r>
      <w:proofErr w:type="spellStart"/>
      <w:r w:rsidRPr="00714842">
        <w:rPr>
          <w:iCs/>
        </w:rPr>
        <w:t>methionine</w:t>
      </w:r>
      <w:proofErr w:type="spellEnd"/>
      <w:r w:rsidRPr="00714842">
        <w:rPr>
          <w:iCs/>
        </w:rPr>
        <w:t xml:space="preserve"> containing protein exposed to oxidation was retained when incubated at 40°C even after 14 days with unchanged unfolding transition temperature (</w:t>
      </w:r>
      <w:r w:rsidRPr="00714842">
        <w:rPr>
          <w:i/>
          <w:iCs/>
        </w:rPr>
        <w:t>T</w:t>
      </w:r>
      <w:r w:rsidRPr="00714842">
        <w:rPr>
          <w:i/>
          <w:iCs/>
          <w:vertAlign w:val="subscript"/>
        </w:rPr>
        <w:t>m</w:t>
      </w:r>
      <w:r w:rsidRPr="00714842">
        <w:rPr>
          <w:iCs/>
        </w:rPr>
        <w:t>) compared to the reference. In contrast, RP-HPLC revealed oxidation alterations when the same samples were stored at 40°C, highlighting the significant impact of temperature on oxidation kinetics. N-acetyl-L-</w:t>
      </w:r>
      <w:proofErr w:type="spellStart"/>
      <w:r w:rsidRPr="00714842">
        <w:rPr>
          <w:iCs/>
        </w:rPr>
        <w:t>cysteine</w:t>
      </w:r>
      <w:proofErr w:type="spellEnd"/>
      <w:r w:rsidRPr="00714842">
        <w:rPr>
          <w:iCs/>
        </w:rPr>
        <w:t xml:space="preserve"> and ascorbic acid were relatively less protective than </w:t>
      </w:r>
      <w:proofErr w:type="spellStart"/>
      <w:r w:rsidRPr="00714842">
        <w:rPr>
          <w:iCs/>
        </w:rPr>
        <w:t>methionine</w:t>
      </w:r>
      <w:proofErr w:type="spellEnd"/>
      <w:r w:rsidRPr="00714842">
        <w:rPr>
          <w:iCs/>
        </w:rPr>
        <w:t xml:space="preserve">. The hydrodynamic size of the protein was increased with decreasing </w:t>
      </w:r>
      <w:r w:rsidRPr="00714842">
        <w:rPr>
          <w:i/>
          <w:iCs/>
        </w:rPr>
        <w:t>T</w:t>
      </w:r>
      <w:r w:rsidRPr="00714842">
        <w:rPr>
          <w:i/>
          <w:iCs/>
          <w:vertAlign w:val="subscript"/>
        </w:rPr>
        <w:t>m</w:t>
      </w:r>
      <w:r w:rsidRPr="00714842">
        <w:rPr>
          <w:iCs/>
        </w:rPr>
        <w:t xml:space="preserve"> compared to the reference. In conclusion, </w:t>
      </w:r>
      <w:proofErr w:type="spellStart"/>
      <w:r w:rsidRPr="00714842">
        <w:rPr>
          <w:iCs/>
        </w:rPr>
        <w:t>methionine</w:t>
      </w:r>
      <w:proofErr w:type="spellEnd"/>
      <w:r w:rsidRPr="00714842">
        <w:rPr>
          <w:iCs/>
        </w:rPr>
        <w:t xml:space="preserve"> was a superior antioxidant, implicating amino acids as a promising component in the protein formulation for the suppression of protein oxidation.</w:t>
      </w:r>
    </w:p>
    <w:p w:rsidR="00C74B4B" w:rsidRPr="008A12DE" w:rsidRDefault="00C74B4B" w:rsidP="00C74B4B">
      <w:pPr>
        <w:rPr>
          <w:b/>
          <w:bCs/>
          <w:color w:val="943634" w:themeColor="accent2" w:themeShade="BF"/>
        </w:rPr>
      </w:pPr>
      <w:r w:rsidRPr="00C74B4B">
        <w:rPr>
          <w:bCs/>
        </w:rPr>
        <w:br w:type="column"/>
      </w:r>
      <w:r w:rsidRPr="008A12DE">
        <w:rPr>
          <w:b/>
          <w:bCs/>
          <w:color w:val="943634" w:themeColor="accent2" w:themeShade="BF"/>
        </w:rPr>
        <w:lastRenderedPageBreak/>
        <w:t>Image</w:t>
      </w:r>
    </w:p>
    <w:p w:rsidR="00C74B4B" w:rsidRDefault="00EF251E" w:rsidP="00C74B4B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1079500</wp:posOffset>
            </wp:positionV>
            <wp:extent cx="3188335" cy="516255"/>
            <wp:effectExtent l="0" t="0" r="0" b="0"/>
            <wp:wrapTight wrapText="bothSides">
              <wp:wrapPolygon edited="0">
                <wp:start x="258" y="797"/>
                <wp:lineTo x="0" y="15144"/>
                <wp:lineTo x="645" y="15941"/>
                <wp:lineTo x="1936" y="15941"/>
                <wp:lineTo x="19230" y="15941"/>
                <wp:lineTo x="19875" y="15941"/>
                <wp:lineTo x="20133" y="15144"/>
                <wp:lineTo x="19875" y="13550"/>
                <wp:lineTo x="21424" y="11159"/>
                <wp:lineTo x="21424" y="797"/>
                <wp:lineTo x="19617" y="797"/>
                <wp:lineTo x="258" y="797"/>
              </wp:wrapPolygon>
            </wp:wrapTight>
            <wp:docPr id="6" name="Object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315200" cy="1323439"/>
                      <a:chOff x="896938" y="3276600"/>
                      <a:chExt cx="7315200" cy="1323439"/>
                    </a:xfrm>
                  </a:grpSpPr>
                  <a:sp>
                    <a:nvSpPr>
                      <a:cNvPr id="16387" name="Rectangle 23"/>
                      <a:cNvSpPr>
                        <a:spLocks noChangeArrowheads="1"/>
                      </a:cNvSpPr>
                    </a:nvSpPr>
                    <a:spPr bwMode="auto">
                      <a:xfrm>
                        <a:off x="896938" y="3276600"/>
                        <a:ext cx="7315200" cy="132343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arto="http://schemas.microsoft.com/office/word/2006/arto" xmlns="" xmlns:p="http://schemas.openxmlformats.org/presentation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arto="http://schemas.microsoft.com/office/word/2006/arto" xmlns="" xmlns:p="http://schemas.openxmlformats.org/presentation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ko-KR"/>
                          </a:defPPr>
                          <a:lvl1pPr algn="l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맑은 고딕" pitchFamily="50" charset="-127"/>
                              <a:ea typeface="맑은 고딕" pitchFamily="50" charset="-127"/>
                              <a:cs typeface="+mn-cs"/>
                            </a:defRPr>
                          </a:lvl1pPr>
                          <a:lvl2pPr marL="457200" algn="l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맑은 고딕" pitchFamily="50" charset="-127"/>
                              <a:ea typeface="맑은 고딕" pitchFamily="50" charset="-127"/>
                              <a:cs typeface="+mn-cs"/>
                            </a:defRPr>
                          </a:lvl2pPr>
                          <a:lvl3pPr marL="914400" algn="l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맑은 고딕" pitchFamily="50" charset="-127"/>
                              <a:ea typeface="맑은 고딕" pitchFamily="50" charset="-127"/>
                              <a:cs typeface="+mn-cs"/>
                            </a:defRPr>
                          </a:lvl3pPr>
                          <a:lvl4pPr marL="1371600" algn="l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맑은 고딕" pitchFamily="50" charset="-127"/>
                              <a:ea typeface="맑은 고딕" pitchFamily="50" charset="-127"/>
                              <a:cs typeface="+mn-cs"/>
                            </a:defRPr>
                          </a:lvl4pPr>
                          <a:lvl5pPr marL="1828800" algn="l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맑은 고딕" pitchFamily="50" charset="-127"/>
                              <a:ea typeface="맑은 고딕" pitchFamily="50" charset="-127"/>
                              <a:cs typeface="+mn-cs"/>
                            </a:defRPr>
                          </a:lvl5pPr>
                          <a:lvl6pPr marL="2286000" algn="l" defTabSz="914400" rtl="0" eaLnBrk="1" latinLnBrk="1" hangingPunct="1">
                            <a:defRPr kern="1200">
                              <a:solidFill>
                                <a:schemeClr val="tx1"/>
                              </a:solidFill>
                              <a:latin typeface="맑은 고딕" pitchFamily="50" charset="-127"/>
                              <a:ea typeface="맑은 고딕" pitchFamily="50" charset="-127"/>
                              <a:cs typeface="+mn-cs"/>
                            </a:defRPr>
                          </a:lvl6pPr>
                          <a:lvl7pPr marL="2743200" algn="l" defTabSz="914400" rtl="0" eaLnBrk="1" latinLnBrk="1" hangingPunct="1">
                            <a:defRPr kern="1200">
                              <a:solidFill>
                                <a:schemeClr val="tx1"/>
                              </a:solidFill>
                              <a:latin typeface="맑은 고딕" pitchFamily="50" charset="-127"/>
                              <a:ea typeface="맑은 고딕" pitchFamily="50" charset="-127"/>
                              <a:cs typeface="+mn-cs"/>
                            </a:defRPr>
                          </a:lvl7pPr>
                          <a:lvl8pPr marL="3200400" algn="l" defTabSz="914400" rtl="0" eaLnBrk="1" latinLnBrk="1" hangingPunct="1">
                            <a:defRPr kern="1200">
                              <a:solidFill>
                                <a:schemeClr val="tx1"/>
                              </a:solidFill>
                              <a:latin typeface="맑은 고딕" pitchFamily="50" charset="-127"/>
                              <a:ea typeface="맑은 고딕" pitchFamily="50" charset="-127"/>
                              <a:cs typeface="+mn-cs"/>
                            </a:defRPr>
                          </a:lvl8pPr>
                          <a:lvl9pPr marL="3657600" algn="l" defTabSz="914400" rtl="0" eaLnBrk="1" latinLnBrk="1" hangingPunct="1">
                            <a:defRPr kern="1200">
                              <a:solidFill>
                                <a:schemeClr val="tx1"/>
                              </a:solidFill>
                              <a:latin typeface="맑은 고딕" pitchFamily="50" charset="-127"/>
                              <a:ea typeface="맑은 고딕" pitchFamily="50" charset="-127"/>
                              <a:cs typeface="+mn-cs"/>
                            </a:defRPr>
                          </a:lvl9pPr>
                        </a:lstStyle>
                        <a:p>
                          <a:pPr algn="just" eaLnBrk="1" hangingPunct="1">
                            <a:spcBef>
                              <a:spcPct val="0"/>
                            </a:spcBef>
                            <a:buFontTx/>
                            <a:buNone/>
                          </a:pPr>
                          <a:r>
                            <a:rPr lang="en-US" altLang="ko-KR" sz="1600" b="1" dirty="0" smtClean="0">
                              <a:latin typeface="Arial" charset="0"/>
                              <a:cs typeface="Arial" charset="0"/>
                            </a:rPr>
                            <a:t>Fig. </a:t>
                          </a:r>
                          <a:r>
                            <a:rPr lang="en-US" altLang="ko-KR" sz="1600" dirty="0">
                              <a:latin typeface="Arial" charset="0"/>
                              <a:cs typeface="Arial" charset="0"/>
                            </a:rPr>
                            <a:t>(a) Typical DSC </a:t>
                          </a:r>
                          <a:r>
                            <a:rPr lang="en-US" altLang="ko-KR" sz="1600" dirty="0" err="1">
                              <a:latin typeface="Arial" charset="0"/>
                              <a:cs typeface="Arial" charset="0"/>
                            </a:rPr>
                            <a:t>thermogram</a:t>
                          </a:r>
                          <a:r>
                            <a:rPr lang="en-US" altLang="ko-KR" sz="1600" dirty="0">
                              <a:latin typeface="Arial" charset="0"/>
                              <a:cs typeface="Arial" charset="0"/>
                            </a:rPr>
                            <a:t> of control sample showing two domains, (b) DSC </a:t>
                          </a:r>
                          <a:r>
                            <a:rPr lang="en-US" altLang="ko-KR" sz="1600" dirty="0" err="1">
                              <a:latin typeface="Arial" charset="0"/>
                              <a:cs typeface="Arial" charset="0"/>
                            </a:rPr>
                            <a:t>thermogram</a:t>
                          </a:r>
                          <a:r>
                            <a:rPr lang="en-US" altLang="ko-KR" sz="1600" dirty="0">
                              <a:latin typeface="Arial" charset="0"/>
                              <a:cs typeface="Arial" charset="0"/>
                            </a:rPr>
                            <a:t> of oxidized </a:t>
                          </a:r>
                          <a:r>
                            <a:rPr lang="en-US" altLang="ko-KR" sz="1600" dirty="0" err="1" smtClean="0">
                              <a:latin typeface="Arial" charset="0"/>
                              <a:cs typeface="Arial" charset="0"/>
                            </a:rPr>
                            <a:t>lysozyme</a:t>
                          </a:r>
                          <a:r>
                            <a:rPr lang="en-US" altLang="ko-KR" sz="1600" dirty="0" smtClean="0">
                              <a:latin typeface="Arial" charset="0"/>
                              <a:cs typeface="Arial" charset="0"/>
                            </a:rPr>
                            <a:t> showing decrease in thermal stability </a:t>
                          </a:r>
                          <a:r>
                            <a:rPr lang="en-US" altLang="ko-KR" sz="1600" dirty="0">
                              <a:latin typeface="Arial" charset="0"/>
                              <a:cs typeface="Arial" charset="0"/>
                            </a:rPr>
                            <a:t>and (c) DSC </a:t>
                          </a:r>
                          <a:r>
                            <a:rPr lang="en-US" altLang="ko-KR" sz="1600" dirty="0" err="1">
                              <a:latin typeface="Arial" charset="0"/>
                              <a:cs typeface="Arial" charset="0"/>
                            </a:rPr>
                            <a:t>thermogram</a:t>
                          </a:r>
                          <a:r>
                            <a:rPr lang="en-US" altLang="ko-KR" sz="1600" dirty="0">
                              <a:latin typeface="Arial" charset="0"/>
                              <a:cs typeface="Arial" charset="0"/>
                            </a:rPr>
                            <a:t> of oxidized </a:t>
                          </a:r>
                          <a:r>
                            <a:rPr lang="en-US" altLang="ko-KR" sz="1600" dirty="0" err="1">
                              <a:latin typeface="Arial" charset="0"/>
                              <a:cs typeface="Arial" charset="0"/>
                            </a:rPr>
                            <a:t>lysozyme</a:t>
                          </a:r>
                          <a:r>
                            <a:rPr lang="en-US" altLang="ko-KR" sz="1600" dirty="0">
                              <a:latin typeface="Arial" charset="0"/>
                              <a:cs typeface="Arial" charset="0"/>
                            </a:rPr>
                            <a:t> with 100 </a:t>
                          </a:r>
                          <a:r>
                            <a:rPr lang="en-US" altLang="ko-KR" sz="1600" dirty="0" err="1">
                              <a:latin typeface="Arial" charset="0"/>
                              <a:cs typeface="Arial" charset="0"/>
                            </a:rPr>
                            <a:t>mM</a:t>
                          </a:r>
                          <a:r>
                            <a:rPr lang="en-US" altLang="ko-KR" sz="1600" dirty="0">
                              <a:latin typeface="Arial" charset="0"/>
                              <a:cs typeface="Arial" charset="0"/>
                            </a:rPr>
                            <a:t> of </a:t>
                          </a:r>
                          <a:r>
                            <a:rPr lang="en-US" altLang="ko-KR" sz="1600" dirty="0" err="1" smtClean="0">
                              <a:latin typeface="Arial" charset="0"/>
                              <a:cs typeface="Arial" charset="0"/>
                            </a:rPr>
                            <a:t>methionine</a:t>
                          </a:r>
                          <a:r>
                            <a:rPr lang="en-US" altLang="ko-KR" sz="1600" dirty="0">
                              <a:latin typeface="Arial" charset="0"/>
                              <a:cs typeface="Arial" charset="0"/>
                            </a:rPr>
                            <a:t> </a:t>
                          </a:r>
                          <a:r>
                            <a:rPr lang="en-US" altLang="ko-KR" sz="1600" dirty="0" smtClean="0">
                              <a:latin typeface="Arial" charset="0"/>
                              <a:cs typeface="Arial" charset="0"/>
                            </a:rPr>
                            <a:t>showing the retention of thermal stability of </a:t>
                          </a:r>
                          <a:r>
                            <a:rPr lang="en-US" altLang="ko-KR" sz="1600" dirty="0" err="1" smtClean="0">
                              <a:latin typeface="Arial" charset="0"/>
                              <a:cs typeface="Arial" charset="0"/>
                            </a:rPr>
                            <a:t>lysozyme</a:t>
                          </a:r>
                          <a:r>
                            <a:rPr lang="en-US" altLang="ko-KR" sz="1600" dirty="0" smtClean="0">
                              <a:latin typeface="Arial" charset="0"/>
                              <a:cs typeface="Arial" charset="0"/>
                            </a:rPr>
                            <a:t> as in control sample.</a:t>
                          </a:r>
                          <a:endParaRPr lang="ko-KR" altLang="en-US" sz="1600" dirty="0">
                            <a:latin typeface="Arial" charset="0"/>
                            <a:cs typeface="Arial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  <w:r w:rsidR="005839B7" w:rsidRPr="005839B7">
        <w:rPr>
          <w:b/>
          <w:noProof/>
        </w:rPr>
        <w:drawing>
          <wp:inline distT="0" distB="0" distL="0" distR="0">
            <wp:extent cx="3233034" cy="1009816"/>
            <wp:effectExtent l="19050" t="0" r="5466" b="0"/>
            <wp:docPr id="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6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rto="http://schemas.microsoft.com/office/word/2006/arto" xmlns="" xmlns:p="http://schemas.openxmlformats.org/presentationml/2006/main" xmlns:a14="http://schemas.microsoft.com/office/drawing/2010/main" xmlns:lc="http://schemas.openxmlformats.org/drawingml/2006/lockedCanvas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265" cy="1014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rto="http://schemas.microsoft.com/office/word/2006/arto" xmlns="" xmlns:p="http://schemas.openxmlformats.org/presentationml/2006/main" xmlns:a14="http://schemas.microsoft.com/office/drawing/2010/main" xmlns:lc="http://schemas.openxmlformats.org/drawingml/2006/lockedCanvas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rto="http://schemas.microsoft.com/office/word/2006/arto" xmlns="" xmlns:p="http://schemas.openxmlformats.org/presentationml/2006/main" xmlns:a14="http://schemas.microsoft.com/office/drawing/2010/main" xmlns:lc="http://schemas.openxmlformats.org/drawingml/2006/lockedCanvas" xmlns:w="http://schemas.openxmlformats.org/wordprocessingml/2006/main" xmlns:w10="urn:schemas-microsoft-com:office:word" xmlns:v="urn:schemas-microsoft-com:vml" xmlns:o="urn:schemas-microsoft-com:office:office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rto="http://schemas.microsoft.com/office/word/2006/arto" xmlns="" xmlns:p="http://schemas.openxmlformats.org/presentationml/2006/main" xmlns:a14="http://schemas.microsoft.com/office/drawing/2010/main" xmlns:lc="http://schemas.openxmlformats.org/drawingml/2006/lockedCanvas" xmlns:w="http://schemas.openxmlformats.org/wordprocessingml/2006/main" xmlns:w10="urn:schemas-microsoft-com:office:word" xmlns:v="urn:schemas-microsoft-com:vml" xmlns:o="urn:schemas-microsoft-com:office:office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29247E" w:rsidRDefault="0029247E" w:rsidP="00C74B4B">
      <w:pPr>
        <w:rPr>
          <w:b/>
        </w:rPr>
      </w:pPr>
    </w:p>
    <w:p w:rsidR="00C74B4B" w:rsidRPr="008A12DE" w:rsidRDefault="008A12DE" w:rsidP="00C74B4B">
      <w:pPr>
        <w:rPr>
          <w:b/>
          <w:color w:val="943634" w:themeColor="accent2" w:themeShade="BF"/>
        </w:rPr>
      </w:pPr>
      <w:r w:rsidRPr="008A12DE">
        <w:rPr>
          <w:b/>
          <w:color w:val="943634" w:themeColor="accent2" w:themeShade="BF"/>
        </w:rPr>
        <w:t>References</w:t>
      </w:r>
    </w:p>
    <w:p w:rsidR="0029247E" w:rsidRPr="0029247E" w:rsidRDefault="0029247E" w:rsidP="00EF251E">
      <w:pPr>
        <w:numPr>
          <w:ilvl w:val="0"/>
          <w:numId w:val="4"/>
        </w:numPr>
        <w:jc w:val="both"/>
        <w:rPr>
          <w:rFonts w:cstheme="minorHAnsi"/>
          <w:color w:val="000000" w:themeColor="text1"/>
          <w:sz w:val="20"/>
        </w:rPr>
      </w:pPr>
      <w:r w:rsidRPr="0029247E">
        <w:rPr>
          <w:rFonts w:cstheme="minorHAnsi"/>
          <w:szCs w:val="24"/>
        </w:rPr>
        <w:t xml:space="preserve">M. Manning, D. Chou, B. Murphy, R. Payne, D. Katayama, </w:t>
      </w:r>
      <w:proofErr w:type="spellStart"/>
      <w:r w:rsidRPr="0029247E">
        <w:rPr>
          <w:rFonts w:cstheme="minorHAnsi"/>
          <w:szCs w:val="24"/>
        </w:rPr>
        <w:t>Pharm</w:t>
      </w:r>
      <w:proofErr w:type="spellEnd"/>
      <w:r w:rsidRPr="0029247E">
        <w:rPr>
          <w:rFonts w:cstheme="minorHAnsi"/>
          <w:szCs w:val="24"/>
        </w:rPr>
        <w:t xml:space="preserve"> Res, 27 (2010) 544-575.</w:t>
      </w:r>
    </w:p>
    <w:p w:rsidR="0029247E" w:rsidRPr="0029247E" w:rsidRDefault="0029247E" w:rsidP="00EF251E">
      <w:pPr>
        <w:numPr>
          <w:ilvl w:val="0"/>
          <w:numId w:val="4"/>
        </w:numPr>
        <w:jc w:val="both"/>
        <w:rPr>
          <w:rFonts w:cstheme="minorHAnsi"/>
          <w:color w:val="000000" w:themeColor="text1"/>
          <w:sz w:val="20"/>
        </w:rPr>
      </w:pPr>
      <w:r w:rsidRPr="0029247E">
        <w:rPr>
          <w:rFonts w:cstheme="minorHAnsi"/>
          <w:szCs w:val="24"/>
        </w:rPr>
        <w:t>R. Torosantucci, C. Schöneich, W. Jiskoot, Pharm. Res. 31 (2014) 541-553.</w:t>
      </w:r>
    </w:p>
    <w:p w:rsidR="0029247E" w:rsidRPr="0029247E" w:rsidRDefault="0029247E" w:rsidP="00EF251E">
      <w:pPr>
        <w:numPr>
          <w:ilvl w:val="0"/>
          <w:numId w:val="4"/>
        </w:numPr>
        <w:jc w:val="both"/>
        <w:rPr>
          <w:rFonts w:cstheme="minorHAnsi"/>
          <w:color w:val="000000" w:themeColor="text1"/>
          <w:sz w:val="20"/>
        </w:rPr>
      </w:pPr>
      <w:r w:rsidRPr="0029247E">
        <w:rPr>
          <w:rFonts w:cstheme="minorHAnsi"/>
          <w:szCs w:val="24"/>
        </w:rPr>
        <w:t>J. Bolobajev, M. Trapido, A. Goi, Chem. Eng. J. 281 (2015) 566-574.</w:t>
      </w:r>
    </w:p>
    <w:p w:rsidR="0029247E" w:rsidRPr="0029247E" w:rsidRDefault="0029247E" w:rsidP="00EF251E">
      <w:pPr>
        <w:pStyle w:val="EndNoteBibliography"/>
        <w:numPr>
          <w:ilvl w:val="0"/>
          <w:numId w:val="4"/>
        </w:numPr>
        <w:spacing w:line="480" w:lineRule="auto"/>
        <w:rPr>
          <w:rFonts w:asciiTheme="minorHAnsi" w:hAnsiTheme="minorHAnsi" w:cstheme="minorHAnsi"/>
          <w:sz w:val="22"/>
          <w:szCs w:val="24"/>
        </w:rPr>
      </w:pPr>
      <w:r w:rsidRPr="0029247E">
        <w:rPr>
          <w:rFonts w:asciiTheme="minorHAnsi" w:hAnsiTheme="minorHAnsi" w:cstheme="minorHAnsi"/>
          <w:sz w:val="22"/>
          <w:szCs w:val="24"/>
        </w:rPr>
        <w:t>R. Chaudhuri, Y. Cheng, C.R. Middaugh, D.B. Volkin, AAPS J., 16 (2014) 48-64.</w:t>
      </w:r>
    </w:p>
    <w:p w:rsidR="0029247E" w:rsidRPr="0029247E" w:rsidRDefault="0029247E" w:rsidP="00EF251E">
      <w:pPr>
        <w:pStyle w:val="EndNoteBibliography"/>
        <w:numPr>
          <w:ilvl w:val="0"/>
          <w:numId w:val="4"/>
        </w:numPr>
        <w:spacing w:line="480" w:lineRule="auto"/>
        <w:rPr>
          <w:rFonts w:asciiTheme="minorHAnsi" w:hAnsiTheme="minorHAnsi" w:cstheme="minorHAnsi"/>
          <w:sz w:val="22"/>
          <w:szCs w:val="24"/>
        </w:rPr>
      </w:pPr>
      <w:r w:rsidRPr="0029247E">
        <w:rPr>
          <w:rFonts w:asciiTheme="minorHAnsi" w:hAnsiTheme="minorHAnsi" w:cstheme="minorHAnsi"/>
          <w:sz w:val="22"/>
          <w:szCs w:val="24"/>
        </w:rPr>
        <w:t>R. Chaudhuri, Y. Cheng, C.R. Middaugh, D.B. Volkin, AAPS J., 16 (2014) 48-64.</w:t>
      </w:r>
    </w:p>
    <w:p w:rsidR="00C74B4B" w:rsidRPr="0029247E" w:rsidRDefault="00C74B4B" w:rsidP="0029247E">
      <w:pPr>
        <w:numPr>
          <w:ilvl w:val="0"/>
          <w:numId w:val="4"/>
        </w:numPr>
        <w:rPr>
          <w:bCs/>
          <w:color w:val="000000" w:themeColor="text1"/>
        </w:rPr>
        <w:sectPr w:rsidR="00C74B4B" w:rsidRPr="0029247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C74B4B" w:rsidRPr="00C74B4B" w:rsidRDefault="00C74B4B" w:rsidP="00C74B4B"/>
    <w:p w:rsidR="00C74B4B" w:rsidRPr="00C74B4B" w:rsidRDefault="00831F07" w:rsidP="00C74B4B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48260</wp:posOffset>
            </wp:positionH>
            <wp:positionV relativeFrom="paragraph">
              <wp:posOffset>247015</wp:posOffset>
            </wp:positionV>
            <wp:extent cx="740410" cy="929005"/>
            <wp:effectExtent l="19050" t="0" r="2540" b="0"/>
            <wp:wrapSquare wrapText="bothSides"/>
            <wp:docPr id="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410" cy="929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5A80">
        <w:rPr>
          <w:noProof/>
        </w:rPr>
      </w:r>
      <w:r w:rsidR="00A35A80">
        <w:rPr>
          <w:noProof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F60C06" w:rsidRDefault="00C74B4B" w:rsidP="00C74B4B">
      <w:r w:rsidRPr="00C74B4B">
        <w:t xml:space="preserve">              </w:t>
      </w:r>
    </w:p>
    <w:p w:rsidR="00F60C06" w:rsidRDefault="00F60C06" w:rsidP="00C74B4B"/>
    <w:p w:rsidR="00C74B4B" w:rsidRPr="008664CA" w:rsidRDefault="00C74B4B" w:rsidP="00C74B4B">
      <w:pPr>
        <w:rPr>
          <w:b/>
          <w:color w:val="943634" w:themeColor="accent2" w:themeShade="BF"/>
        </w:rPr>
      </w:pPr>
      <w:r w:rsidRPr="008664CA">
        <w:rPr>
          <w:b/>
          <w:color w:val="943634" w:themeColor="accent2" w:themeShade="BF"/>
        </w:rPr>
        <w:t xml:space="preserve">Biography </w:t>
      </w:r>
    </w:p>
    <w:p w:rsidR="00F60C06" w:rsidRDefault="00F60C06" w:rsidP="00C74B4B"/>
    <w:p w:rsidR="00C74B4B" w:rsidRPr="00EE2AA8" w:rsidRDefault="00913B8A" w:rsidP="008664CA">
      <w:pPr>
        <w:jc w:val="both"/>
        <w:rPr>
          <w:rFonts w:cstheme="minorHAnsi"/>
          <w:szCs w:val="18"/>
          <w:shd w:val="clear" w:color="auto" w:fill="FFFFFF"/>
        </w:rPr>
      </w:pPr>
      <w:proofErr w:type="spellStart"/>
      <w:r w:rsidRPr="00EE2AA8">
        <w:rPr>
          <w:rFonts w:cstheme="minorHAnsi"/>
          <w:szCs w:val="18"/>
          <w:shd w:val="clear" w:color="auto" w:fill="FFFFFF"/>
        </w:rPr>
        <w:t>Shavron</w:t>
      </w:r>
      <w:proofErr w:type="spellEnd"/>
      <w:r w:rsidRPr="00EE2AA8">
        <w:rPr>
          <w:rFonts w:cstheme="minorHAnsi"/>
          <w:szCs w:val="18"/>
          <w:shd w:val="clear" w:color="auto" w:fill="FFFFFF"/>
        </w:rPr>
        <w:t xml:space="preserve"> </w:t>
      </w:r>
      <w:proofErr w:type="spellStart"/>
      <w:r w:rsidRPr="00EE2AA8">
        <w:rPr>
          <w:rFonts w:cstheme="minorHAnsi"/>
          <w:szCs w:val="18"/>
          <w:shd w:val="clear" w:color="auto" w:fill="FFFFFF"/>
        </w:rPr>
        <w:t>Hada</w:t>
      </w:r>
      <w:proofErr w:type="spellEnd"/>
      <w:r w:rsidRPr="00EE2AA8">
        <w:rPr>
          <w:rFonts w:cstheme="minorHAnsi"/>
          <w:szCs w:val="18"/>
          <w:shd w:val="clear" w:color="auto" w:fill="FFFFFF"/>
        </w:rPr>
        <w:t xml:space="preserve"> has</w:t>
      </w:r>
      <w:r w:rsidR="00EE2AA8" w:rsidRPr="00EE2AA8">
        <w:rPr>
          <w:rFonts w:cstheme="minorHAnsi"/>
          <w:szCs w:val="18"/>
          <w:shd w:val="clear" w:color="auto" w:fill="FFFFFF"/>
        </w:rPr>
        <w:t xml:space="preserve"> done her Master’s degree focused in Pharmaceutical sciences from </w:t>
      </w:r>
      <w:proofErr w:type="spellStart"/>
      <w:r w:rsidR="00EE2AA8" w:rsidRPr="00EE2AA8">
        <w:rPr>
          <w:rFonts w:cstheme="minorHAnsi"/>
          <w:szCs w:val="18"/>
          <w:shd w:val="clear" w:color="auto" w:fill="FFFFFF"/>
        </w:rPr>
        <w:t>Dongguk</w:t>
      </w:r>
      <w:proofErr w:type="spellEnd"/>
      <w:r w:rsidR="00EE2AA8" w:rsidRPr="00EE2AA8">
        <w:rPr>
          <w:rFonts w:cstheme="minorHAnsi"/>
          <w:szCs w:val="18"/>
          <w:shd w:val="clear" w:color="auto" w:fill="FFFFFF"/>
        </w:rPr>
        <w:t xml:space="preserve"> University, Korea.</w:t>
      </w:r>
      <w:r w:rsidRPr="00EE2AA8">
        <w:rPr>
          <w:rFonts w:cstheme="minorHAnsi"/>
          <w:szCs w:val="18"/>
          <w:shd w:val="clear" w:color="auto" w:fill="FFFFFF"/>
        </w:rPr>
        <w:t xml:space="preserve"> She </w:t>
      </w:r>
      <w:proofErr w:type="gramStart"/>
      <w:r w:rsidRPr="00EE2AA8">
        <w:rPr>
          <w:rFonts w:cstheme="minorHAnsi"/>
          <w:szCs w:val="18"/>
          <w:shd w:val="clear" w:color="auto" w:fill="FFFFFF"/>
        </w:rPr>
        <w:t>has</w:t>
      </w:r>
      <w:r w:rsidR="001479AC">
        <w:rPr>
          <w:rFonts w:cstheme="minorHAnsi"/>
          <w:szCs w:val="18"/>
          <w:shd w:val="clear" w:color="auto" w:fill="FFFFFF"/>
        </w:rPr>
        <w:t xml:space="preserve"> </w:t>
      </w:r>
      <w:r w:rsidRPr="00EE2AA8">
        <w:rPr>
          <w:rFonts w:cstheme="minorHAnsi"/>
          <w:szCs w:val="18"/>
          <w:shd w:val="clear" w:color="auto" w:fill="FFFFFF"/>
        </w:rPr>
        <w:t xml:space="preserve"> gained</w:t>
      </w:r>
      <w:proofErr w:type="gramEnd"/>
      <w:r w:rsidRPr="00EE2AA8">
        <w:rPr>
          <w:rFonts w:cstheme="minorHAnsi"/>
          <w:szCs w:val="18"/>
          <w:shd w:val="clear" w:color="auto" w:fill="FFFFFF"/>
        </w:rPr>
        <w:t xml:space="preserve"> </w:t>
      </w:r>
      <w:r w:rsidR="001479AC">
        <w:rPr>
          <w:rFonts w:cstheme="minorHAnsi"/>
          <w:szCs w:val="18"/>
          <w:shd w:val="clear" w:color="auto" w:fill="FFFFFF"/>
        </w:rPr>
        <w:t xml:space="preserve"> an </w:t>
      </w:r>
      <w:r w:rsidRPr="00EE2AA8">
        <w:rPr>
          <w:rFonts w:cstheme="minorHAnsi"/>
          <w:szCs w:val="18"/>
          <w:shd w:val="clear" w:color="auto" w:fill="FFFFFF"/>
        </w:rPr>
        <w:t xml:space="preserve">expertise in </w:t>
      </w:r>
      <w:r w:rsidR="00EE2AA8" w:rsidRPr="00EE2AA8">
        <w:rPr>
          <w:rFonts w:cstheme="minorHAnsi"/>
          <w:szCs w:val="18"/>
          <w:shd w:val="clear" w:color="auto" w:fill="FFFFFF"/>
        </w:rPr>
        <w:t xml:space="preserve">protein pre-formulation studies during her Master’s degree study in Korea. </w:t>
      </w:r>
      <w:r w:rsidRPr="00EE2AA8">
        <w:rPr>
          <w:rFonts w:cstheme="minorHAnsi"/>
          <w:szCs w:val="18"/>
          <w:shd w:val="clear" w:color="auto" w:fill="FFFFFF"/>
        </w:rPr>
        <w:t xml:space="preserve"> Along with that</w:t>
      </w:r>
      <w:r w:rsidR="001479AC">
        <w:rPr>
          <w:rFonts w:cstheme="minorHAnsi"/>
          <w:szCs w:val="18"/>
          <w:shd w:val="clear" w:color="auto" w:fill="FFFFFF"/>
        </w:rPr>
        <w:t>,</w:t>
      </w:r>
      <w:r w:rsidRPr="00EE2AA8">
        <w:rPr>
          <w:rFonts w:cstheme="minorHAnsi"/>
          <w:szCs w:val="18"/>
          <w:shd w:val="clear" w:color="auto" w:fill="FFFFFF"/>
        </w:rPr>
        <w:t xml:space="preserve"> she also got a chance to work with </w:t>
      </w:r>
      <w:r w:rsidR="001479AC">
        <w:rPr>
          <w:rFonts w:cstheme="minorHAnsi"/>
          <w:szCs w:val="18"/>
          <w:shd w:val="clear" w:color="auto" w:fill="FFFFFF"/>
        </w:rPr>
        <w:t xml:space="preserve">the pre-formulation study of </w:t>
      </w:r>
      <w:r w:rsidRPr="00EE2AA8">
        <w:rPr>
          <w:rFonts w:cstheme="minorHAnsi"/>
          <w:szCs w:val="18"/>
          <w:shd w:val="clear" w:color="auto" w:fill="FFFFFF"/>
        </w:rPr>
        <w:t xml:space="preserve">antibody drug conjugates, </w:t>
      </w:r>
      <w:proofErr w:type="spellStart"/>
      <w:r w:rsidRPr="00EE2AA8">
        <w:rPr>
          <w:rFonts w:cstheme="minorHAnsi"/>
          <w:szCs w:val="18"/>
          <w:shd w:val="clear" w:color="auto" w:fill="FFFFFF"/>
        </w:rPr>
        <w:t>siRNA</w:t>
      </w:r>
      <w:proofErr w:type="spellEnd"/>
      <w:r w:rsidRPr="00EE2AA8">
        <w:rPr>
          <w:rFonts w:cstheme="minorHAnsi"/>
          <w:szCs w:val="18"/>
          <w:shd w:val="clear" w:color="auto" w:fill="FFFFFF"/>
        </w:rPr>
        <w:t xml:space="preserve"> and insulin nasal spray</w:t>
      </w:r>
      <w:r w:rsidR="00EE2AA8" w:rsidRPr="00EE2AA8">
        <w:rPr>
          <w:rFonts w:cstheme="minorHAnsi"/>
          <w:szCs w:val="18"/>
          <w:shd w:val="clear" w:color="auto" w:fill="FFFFFF"/>
        </w:rPr>
        <w:t xml:space="preserve"> in the same university</w:t>
      </w:r>
      <w:r w:rsidRPr="00EE2AA8">
        <w:rPr>
          <w:rFonts w:cstheme="minorHAnsi"/>
          <w:szCs w:val="18"/>
          <w:shd w:val="clear" w:color="auto" w:fill="FFFFFF"/>
        </w:rPr>
        <w:t xml:space="preserve">. </w:t>
      </w:r>
      <w:r w:rsidR="00EE2AA8" w:rsidRPr="00EE2AA8">
        <w:rPr>
          <w:rFonts w:cstheme="minorHAnsi"/>
          <w:szCs w:val="18"/>
          <w:shd w:val="clear" w:color="auto" w:fill="FFFFFF"/>
        </w:rPr>
        <w:t xml:space="preserve">Currently she has been working as a production </w:t>
      </w:r>
      <w:proofErr w:type="spellStart"/>
      <w:r w:rsidR="00EE2AA8" w:rsidRPr="00EE2AA8">
        <w:rPr>
          <w:rFonts w:cstheme="minorHAnsi"/>
          <w:szCs w:val="18"/>
          <w:shd w:val="clear" w:color="auto" w:fill="FFFFFF"/>
        </w:rPr>
        <w:t>incharge</w:t>
      </w:r>
      <w:proofErr w:type="spellEnd"/>
      <w:r w:rsidR="00EE2AA8" w:rsidRPr="00EE2AA8">
        <w:rPr>
          <w:rFonts w:cstheme="minorHAnsi"/>
          <w:szCs w:val="18"/>
          <w:shd w:val="clear" w:color="auto" w:fill="FFFFFF"/>
        </w:rPr>
        <w:t xml:space="preserve"> in </w:t>
      </w:r>
      <w:proofErr w:type="spellStart"/>
      <w:r w:rsidR="00EE2AA8" w:rsidRPr="00EE2AA8">
        <w:rPr>
          <w:rFonts w:cstheme="minorHAnsi"/>
          <w:szCs w:val="18"/>
          <w:shd w:val="clear" w:color="auto" w:fill="FFFFFF"/>
        </w:rPr>
        <w:t>Vijayadeep</w:t>
      </w:r>
      <w:proofErr w:type="spellEnd"/>
      <w:r w:rsidR="00EE2AA8" w:rsidRPr="00EE2AA8">
        <w:rPr>
          <w:rFonts w:cstheme="minorHAnsi"/>
          <w:szCs w:val="18"/>
          <w:shd w:val="clear" w:color="auto" w:fill="FFFFFF"/>
        </w:rPr>
        <w:t xml:space="preserve"> Laboratories Ltd., one of the oldest manufacturers of therapeutic drugs</w:t>
      </w:r>
      <w:r w:rsidR="001479AC">
        <w:rPr>
          <w:rFonts w:cstheme="minorHAnsi"/>
          <w:szCs w:val="18"/>
          <w:shd w:val="clear" w:color="auto" w:fill="FFFFFF"/>
        </w:rPr>
        <w:t xml:space="preserve"> in Nepal,</w:t>
      </w:r>
      <w:r w:rsidR="00EE2AA8" w:rsidRPr="00EE2AA8">
        <w:rPr>
          <w:rFonts w:cstheme="minorHAnsi"/>
          <w:szCs w:val="18"/>
          <w:shd w:val="clear" w:color="auto" w:fill="FFFFFF"/>
        </w:rPr>
        <w:t xml:space="preserve"> in the form of tablets and capsules.</w:t>
      </w:r>
    </w:p>
    <w:p w:rsidR="008664CA" w:rsidRPr="008664CA" w:rsidRDefault="008664CA" w:rsidP="008664CA">
      <w:pPr>
        <w:pStyle w:val="NoSpacing"/>
        <w:numPr>
          <w:ilvl w:val="0"/>
          <w:numId w:val="5"/>
        </w:numPr>
        <w:rPr>
          <w:color w:val="0000FF" w:themeColor="hyperlink"/>
          <w:u w:val="single"/>
        </w:rPr>
      </w:pPr>
      <w:r>
        <w:t xml:space="preserve">Full Name: </w:t>
      </w:r>
      <w:proofErr w:type="spellStart"/>
      <w:r w:rsidR="002F4A53">
        <w:t>Shavron</w:t>
      </w:r>
      <w:proofErr w:type="spellEnd"/>
      <w:r w:rsidR="002F4A53">
        <w:t xml:space="preserve"> </w:t>
      </w:r>
      <w:proofErr w:type="spellStart"/>
      <w:r w:rsidR="002F4A53">
        <w:t>Hada</w:t>
      </w:r>
      <w:proofErr w:type="spellEnd"/>
    </w:p>
    <w:p w:rsidR="008664CA" w:rsidRDefault="008664CA" w:rsidP="008664CA">
      <w:pPr>
        <w:pStyle w:val="NoSpacing"/>
        <w:numPr>
          <w:ilvl w:val="0"/>
          <w:numId w:val="5"/>
        </w:numPr>
        <w:rPr>
          <w:rStyle w:val="Hyperlink"/>
        </w:rPr>
      </w:pPr>
      <w:r>
        <w:t xml:space="preserve">Personal </w:t>
      </w:r>
      <w:r w:rsidRPr="00C74B4B">
        <w:t xml:space="preserve">Email: </w:t>
      </w:r>
      <w:r w:rsidRPr="00AB194F">
        <w:t>sha</w:t>
      </w:r>
      <w:r>
        <w:t>vron.hada@gmail.com</w:t>
      </w:r>
    </w:p>
    <w:p w:rsidR="008664CA" w:rsidRPr="008664CA" w:rsidRDefault="008664CA" w:rsidP="008664CA">
      <w:pPr>
        <w:pStyle w:val="NoSpacing"/>
        <w:numPr>
          <w:ilvl w:val="0"/>
          <w:numId w:val="5"/>
        </w:numPr>
        <w:rPr>
          <w:color w:val="0000FF" w:themeColor="hyperlink"/>
          <w:u w:val="single"/>
        </w:rPr>
      </w:pPr>
      <w:r>
        <w:t>Mobile No.</w:t>
      </w:r>
      <w:r w:rsidRPr="00C74B4B">
        <w:t xml:space="preserve">: </w:t>
      </w:r>
      <w:r>
        <w:t>00977-9841282568</w:t>
      </w:r>
    </w:p>
    <w:p w:rsidR="008664CA" w:rsidRPr="008664CA" w:rsidRDefault="008664CA" w:rsidP="008664CA">
      <w:pPr>
        <w:pStyle w:val="NoSpacing"/>
        <w:numPr>
          <w:ilvl w:val="0"/>
          <w:numId w:val="5"/>
        </w:numPr>
        <w:rPr>
          <w:color w:val="0000FF" w:themeColor="hyperlink"/>
          <w:u w:val="single"/>
        </w:rPr>
      </w:pPr>
      <w:r>
        <w:rPr>
          <w:color w:val="000000" w:themeColor="text1"/>
        </w:rPr>
        <w:t xml:space="preserve">Linked in: </w:t>
      </w:r>
      <w:hyperlink r:id="rId12" w:history="1">
        <w:r w:rsidRPr="00421D41">
          <w:rPr>
            <w:rStyle w:val="Hyperlink"/>
          </w:rPr>
          <w:t>https://www.linkedin.com/in/shavron-hada-462149b0/</w:t>
        </w:r>
      </w:hyperlink>
    </w:p>
    <w:p w:rsidR="008664CA" w:rsidRPr="008664CA" w:rsidRDefault="008664CA" w:rsidP="008664CA">
      <w:pPr>
        <w:pStyle w:val="NoSpacing"/>
        <w:numPr>
          <w:ilvl w:val="0"/>
          <w:numId w:val="5"/>
        </w:numPr>
        <w:rPr>
          <w:color w:val="0000FF" w:themeColor="hyperlink"/>
          <w:u w:val="single"/>
        </w:rPr>
      </w:pPr>
      <w:proofErr w:type="spellStart"/>
      <w:r>
        <w:rPr>
          <w:color w:val="000000" w:themeColor="text1"/>
        </w:rPr>
        <w:t>Facebook</w:t>
      </w:r>
      <w:proofErr w:type="spellEnd"/>
      <w:r>
        <w:rPr>
          <w:color w:val="000000" w:themeColor="text1"/>
        </w:rPr>
        <w:t>:</w:t>
      </w:r>
      <w:r>
        <w:rPr>
          <w:color w:val="0000FF" w:themeColor="hyperlink"/>
          <w:u w:val="single"/>
        </w:rPr>
        <w:t xml:space="preserve"> </w:t>
      </w:r>
      <w:r w:rsidRPr="008664CA">
        <w:rPr>
          <w:color w:val="0000FF" w:themeColor="hyperlink"/>
          <w:u w:val="single"/>
        </w:rPr>
        <w:t>https://www.facebook.com/shavron</w:t>
      </w:r>
    </w:p>
    <w:p w:rsidR="008664CA" w:rsidRPr="008664CA" w:rsidRDefault="008664CA" w:rsidP="008664CA">
      <w:pPr>
        <w:pStyle w:val="NoSpacing"/>
        <w:numPr>
          <w:ilvl w:val="0"/>
          <w:numId w:val="5"/>
        </w:numPr>
        <w:rPr>
          <w:color w:val="0000FF" w:themeColor="hyperlink"/>
          <w:u w:val="single"/>
        </w:rPr>
      </w:pPr>
      <w:r>
        <w:t xml:space="preserve">Session Name/ Number: </w:t>
      </w:r>
      <w:r w:rsidR="00AB194F">
        <w:t>Formulations and NDDs</w:t>
      </w:r>
    </w:p>
    <w:p w:rsidR="008664CA" w:rsidRPr="008664CA" w:rsidRDefault="00C74B4B" w:rsidP="008664CA">
      <w:pPr>
        <w:pStyle w:val="NoSpacing"/>
        <w:numPr>
          <w:ilvl w:val="0"/>
          <w:numId w:val="5"/>
        </w:numPr>
        <w:rPr>
          <w:color w:val="0000FF" w:themeColor="hyperlink"/>
          <w:u w:val="single"/>
        </w:rPr>
      </w:pPr>
      <w:r w:rsidRPr="00C74B4B">
        <w:t xml:space="preserve">Category: </w:t>
      </w:r>
      <w:r w:rsidR="00AB194F">
        <w:t>Poster presentation</w:t>
      </w:r>
    </w:p>
    <w:p w:rsidR="00CB438E" w:rsidRPr="008664CA" w:rsidRDefault="00CB438E" w:rsidP="008664CA">
      <w:pPr>
        <w:pStyle w:val="NoSpacing"/>
        <w:numPr>
          <w:ilvl w:val="0"/>
          <w:numId w:val="5"/>
        </w:numPr>
        <w:rPr>
          <w:color w:val="0000FF" w:themeColor="hyperlink"/>
          <w:u w:val="single"/>
        </w:rPr>
      </w:pPr>
      <w:r w:rsidRPr="00CB438E">
        <w:t>D.O.B</w:t>
      </w:r>
      <w:r>
        <w:t xml:space="preserve"> :</w:t>
      </w:r>
      <w:r w:rsidR="00AB194F">
        <w:t>11</w:t>
      </w:r>
      <w:r w:rsidR="00AB194F" w:rsidRPr="00AB194F">
        <w:rPr>
          <w:vertAlign w:val="superscript"/>
        </w:rPr>
        <w:t>th</w:t>
      </w:r>
      <w:r w:rsidR="00AB194F">
        <w:t xml:space="preserve"> March, 1991</w:t>
      </w:r>
    </w:p>
    <w:p w:rsidR="008664CA" w:rsidRPr="008664CA" w:rsidRDefault="008664CA" w:rsidP="008664CA">
      <w:pPr>
        <w:pStyle w:val="NoSpacing"/>
        <w:numPr>
          <w:ilvl w:val="0"/>
          <w:numId w:val="5"/>
        </w:numPr>
        <w:rPr>
          <w:color w:val="0000FF" w:themeColor="hyperlink"/>
          <w:u w:val="single"/>
        </w:rPr>
      </w:pPr>
      <w:r>
        <w:t xml:space="preserve">Postal address: </w:t>
      </w:r>
      <w:proofErr w:type="spellStart"/>
      <w:r>
        <w:t>Deepawali</w:t>
      </w:r>
      <w:proofErr w:type="spellEnd"/>
      <w:r>
        <w:t xml:space="preserve"> </w:t>
      </w:r>
      <w:proofErr w:type="spellStart"/>
      <w:r>
        <w:t>Marga</w:t>
      </w:r>
      <w:proofErr w:type="spellEnd"/>
      <w:r>
        <w:t xml:space="preserve">, House no. 282, Satdobato-15, </w:t>
      </w:r>
      <w:proofErr w:type="spellStart"/>
      <w:r>
        <w:t>Lalitpur</w:t>
      </w:r>
      <w:proofErr w:type="spellEnd"/>
      <w:r>
        <w:t>, Nepal.</w:t>
      </w:r>
    </w:p>
    <w:p w:rsidR="008664CA" w:rsidRPr="00CB438E" w:rsidRDefault="008664CA" w:rsidP="008664CA">
      <w:pPr>
        <w:pStyle w:val="NoSpacing"/>
        <w:ind w:left="360"/>
        <w:rPr>
          <w:color w:val="0000FF" w:themeColor="hyperlink"/>
          <w:u w:val="single"/>
        </w:rPr>
      </w:pPr>
    </w:p>
    <w:p w:rsidR="00CB438E" w:rsidRPr="00C74B4B" w:rsidRDefault="00CB438E" w:rsidP="00C74B4B"/>
    <w:p w:rsidR="00CB438E" w:rsidRPr="00F60C06" w:rsidRDefault="00CB438E" w:rsidP="00F60C06">
      <w:pPr>
        <w:rPr>
          <w:b/>
        </w:rPr>
      </w:pPr>
    </w:p>
    <w:bookmarkEnd w:id="0"/>
    <w:p w:rsidR="005A39D7" w:rsidRDefault="005A39D7"/>
    <w:sectPr w:rsidR="005A39D7" w:rsidSect="00B43B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3CE6" w:rsidRDefault="00F33CE6">
      <w:pPr>
        <w:spacing w:after="0" w:line="240" w:lineRule="auto"/>
      </w:pPr>
      <w:r>
        <w:separator/>
      </w:r>
    </w:p>
  </w:endnote>
  <w:endnote w:type="continuationSeparator" w:id="0">
    <w:p w:rsidR="00F33CE6" w:rsidRDefault="00F33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B4B" w:rsidRDefault="00A35A80">
    <w:pPr>
      <w:pStyle w:val="BodyText"/>
      <w:spacing w:line="14" w:lineRule="auto"/>
      <w:rPr>
        <w:sz w:val="20"/>
      </w:rPr>
    </w:pPr>
    <w:r w:rsidRPr="00A35A80">
      <w:rPr>
        <w:noProof/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C74B4B" w:rsidRPr="005B3A56" w:rsidRDefault="00C74B4B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C74B4B" w:rsidRPr="005B3A56" w:rsidRDefault="00C74B4B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A35A80">
      <w:rPr>
        <w:noProof/>
        <w:sz w:val="18"/>
      </w:rPr>
      <w:pict>
        <v:shape id="Text Box 2" o:spid="_x0000_s4098" type="#_x0000_t202" style="position:absolute;margin-left:252.1pt;margin-top:799.05pt;width:91.9pt;height:24.95pt;z-index:-2516531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C74B4B" w:rsidRPr="005B3A56" w:rsidRDefault="00C74B4B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C74B4B" w:rsidRPr="005B3A56" w:rsidRDefault="00C74B4B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A35A80">
      <w:rPr>
        <w:noProof/>
        <w:sz w:val="18"/>
      </w:rPr>
      <w:pict>
        <v:shape id="Text Box 1" o:spid="_x0000_s4097" type="#_x0000_t202" style="position:absolute;margin-left:468.9pt;margin-top:798.8pt;width:91.4pt;height:26.05pt;z-index:-25165209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C74B4B" w:rsidRPr="005B3A56" w:rsidRDefault="00C74B4B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C74B4B" w:rsidRPr="005B3A56" w:rsidRDefault="00C74B4B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3CE6" w:rsidRDefault="00F33CE6">
      <w:pPr>
        <w:spacing w:after="0" w:line="240" w:lineRule="auto"/>
      </w:pPr>
      <w:r>
        <w:separator/>
      </w:r>
    </w:p>
  </w:footnote>
  <w:footnote w:type="continuationSeparator" w:id="0">
    <w:p w:rsidR="00F33CE6" w:rsidRDefault="00F33C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B4B" w:rsidRDefault="00A35A80">
    <w:pPr>
      <w:pStyle w:val="BodyText"/>
      <w:spacing w:line="14" w:lineRule="auto"/>
      <w:rPr>
        <w:sz w:val="20"/>
      </w:rPr>
    </w:pPr>
    <w:r w:rsidRPr="00A35A80">
      <w:rPr>
        <w:noProof/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C74B4B" w:rsidRPr="005B3A56" w:rsidRDefault="00C74B4B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A35A80">
      <w:rPr>
        <w:noProof/>
        <w:sz w:val="18"/>
      </w:rPr>
      <w:pict>
        <v:shape id="Text Box 4" o:spid="_x0000_s4100" type="#_x0000_t202" style="position:absolute;margin-left:35pt;margin-top:48.3pt;width:515.95pt;height:40.1pt;z-index:-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C74B4B" w:rsidRPr="005B3A56" w:rsidRDefault="00C74B4B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C74B4B" w:rsidRPr="005B3A56" w:rsidRDefault="00C74B4B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50E5C0E"/>
    <w:multiLevelType w:val="hybridMultilevel"/>
    <w:tmpl w:val="868628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C278D"/>
    <w:multiLevelType w:val="hybridMultilevel"/>
    <w:tmpl w:val="D5A23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D610B2"/>
    <w:multiLevelType w:val="hybridMultilevel"/>
    <w:tmpl w:val="849E2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947FD9"/>
    <w:multiLevelType w:val="hybridMultilevel"/>
    <w:tmpl w:val="E4B6A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74B4B"/>
    <w:rsid w:val="000D0E91"/>
    <w:rsid w:val="000E7D7D"/>
    <w:rsid w:val="001479AC"/>
    <w:rsid w:val="001D6C7D"/>
    <w:rsid w:val="002635C7"/>
    <w:rsid w:val="0029247E"/>
    <w:rsid w:val="002F4A53"/>
    <w:rsid w:val="00375113"/>
    <w:rsid w:val="003E6175"/>
    <w:rsid w:val="0043594E"/>
    <w:rsid w:val="004C5DAE"/>
    <w:rsid w:val="005839B7"/>
    <w:rsid w:val="005A39D7"/>
    <w:rsid w:val="005E5AA5"/>
    <w:rsid w:val="00633C44"/>
    <w:rsid w:val="00650480"/>
    <w:rsid w:val="006D2E82"/>
    <w:rsid w:val="00714842"/>
    <w:rsid w:val="008314A9"/>
    <w:rsid w:val="00831F07"/>
    <w:rsid w:val="008664CA"/>
    <w:rsid w:val="008A12DE"/>
    <w:rsid w:val="008C062F"/>
    <w:rsid w:val="00913B8A"/>
    <w:rsid w:val="00990C8C"/>
    <w:rsid w:val="00A35A80"/>
    <w:rsid w:val="00A93E7E"/>
    <w:rsid w:val="00AB194F"/>
    <w:rsid w:val="00B43B11"/>
    <w:rsid w:val="00B7090F"/>
    <w:rsid w:val="00C74B4B"/>
    <w:rsid w:val="00CB438E"/>
    <w:rsid w:val="00CB4802"/>
    <w:rsid w:val="00E34CAD"/>
    <w:rsid w:val="00E87631"/>
    <w:rsid w:val="00EE2AA8"/>
    <w:rsid w:val="00EF251E"/>
    <w:rsid w:val="00F33CE6"/>
    <w:rsid w:val="00F60C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E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C74B4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74B4B"/>
  </w:style>
  <w:style w:type="character" w:styleId="Hyperlink">
    <w:name w:val="Hyperlink"/>
    <w:basedOn w:val="DefaultParagraphFont"/>
    <w:uiPriority w:val="99"/>
    <w:unhideWhenUsed/>
    <w:rsid w:val="00C74B4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4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B4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B438E"/>
    <w:pPr>
      <w:ind w:left="720"/>
      <w:contextualSpacing/>
    </w:pPr>
  </w:style>
  <w:style w:type="paragraph" w:styleId="NoSpacing">
    <w:name w:val="No Spacing"/>
    <w:uiPriority w:val="1"/>
    <w:qFormat/>
    <w:rsid w:val="00CB438E"/>
    <w:pPr>
      <w:spacing w:after="0" w:line="240" w:lineRule="auto"/>
    </w:pPr>
  </w:style>
  <w:style w:type="paragraph" w:customStyle="1" w:styleId="EndNoteBibliography">
    <w:name w:val="EndNote Bibliography"/>
    <w:basedOn w:val="Normal"/>
    <w:link w:val="EndNoteBibliographyChar"/>
    <w:rsid w:val="0029247E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Malgun Gothic" w:eastAsia="Malgun Gothic" w:hAnsi="Malgun Gothic" w:cs="Times New Roman"/>
      <w:noProof/>
      <w:kern w:val="2"/>
      <w:sz w:val="20"/>
      <w:lang w:eastAsia="ko-KR"/>
    </w:rPr>
  </w:style>
  <w:style w:type="character" w:customStyle="1" w:styleId="EndNoteBibliographyChar">
    <w:name w:val="EndNote Bibliography Char"/>
    <w:basedOn w:val="DefaultParagraphFont"/>
    <w:link w:val="EndNoteBibliography"/>
    <w:rsid w:val="0029247E"/>
    <w:rPr>
      <w:rFonts w:ascii="Malgun Gothic" w:eastAsia="Malgun Gothic" w:hAnsi="Malgun Gothic" w:cs="Times New Roman"/>
      <w:noProof/>
      <w:kern w:val="2"/>
      <w:sz w:val="20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inkedin.com/in/shavron-hada-462149b0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ABE0BA-780B-48DE-BD3A-84A0ABD66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4583383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Shivani dhyani</dc:creator>
  <cp:lastModifiedBy>RAM</cp:lastModifiedBy>
  <cp:revision>9</cp:revision>
  <dcterms:created xsi:type="dcterms:W3CDTF">2017-10-13T15:27:00Z</dcterms:created>
  <dcterms:modified xsi:type="dcterms:W3CDTF">2018-05-07T16:25:00Z</dcterms:modified>
</cp:coreProperties>
</file>